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AD" w:rsidRPr="00BD27B6" w:rsidRDefault="003F0E4C" w:rsidP="00D57419">
      <w:pPr>
        <w:jc w:val="both"/>
        <w:rPr>
          <w:rFonts w:ascii="Arial" w:hAnsi="Arial" w:cs="Arial"/>
          <w:b/>
          <w:caps/>
          <w:color w:val="0000FF"/>
        </w:rPr>
      </w:pPr>
      <w:r w:rsidRPr="00D57419">
        <w:rPr>
          <w:rFonts w:ascii="Arial" w:hAnsi="Arial" w:cs="Arial"/>
          <w:b/>
          <w:color w:val="0000FF"/>
        </w:rPr>
        <w:t>6</w:t>
      </w:r>
      <w:r w:rsidR="00374B61">
        <w:rPr>
          <w:rFonts w:ascii="Arial" w:hAnsi="Arial" w:cs="Arial"/>
          <w:b/>
          <w:color w:val="0000FF"/>
        </w:rPr>
        <w:tab/>
      </w:r>
      <w:r w:rsidR="000D6A5E" w:rsidRPr="00D57419">
        <w:rPr>
          <w:rFonts w:ascii="Arial" w:hAnsi="Arial" w:cs="Arial"/>
          <w:b/>
          <w:color w:val="0000FF"/>
        </w:rPr>
        <w:t>U</w:t>
      </w:r>
      <w:r w:rsidR="00955E93" w:rsidRPr="00D57419">
        <w:rPr>
          <w:rFonts w:ascii="Arial" w:hAnsi="Arial" w:cs="Arial"/>
          <w:b/>
          <w:color w:val="0000FF"/>
        </w:rPr>
        <w:t xml:space="preserve">ČEBNÝ PLÁN ŠTUDIJNÉHO ODBORU </w:t>
      </w:r>
      <w:r w:rsidR="000D6A5E" w:rsidRPr="00D57419">
        <w:rPr>
          <w:rFonts w:ascii="Arial" w:hAnsi="Arial" w:cs="Arial"/>
          <w:b/>
          <w:color w:val="0000FF"/>
        </w:rPr>
        <w:t xml:space="preserve">2561 </w:t>
      </w:r>
      <w:r w:rsidR="009E330D" w:rsidRPr="00D57419">
        <w:rPr>
          <w:rFonts w:ascii="Arial" w:hAnsi="Arial" w:cs="Arial"/>
          <w:b/>
          <w:color w:val="0000FF"/>
        </w:rPr>
        <w:t>M</w:t>
      </w:r>
      <w:r w:rsidR="0070096F" w:rsidRPr="00BD27B6">
        <w:rPr>
          <w:rFonts w:ascii="Arial" w:hAnsi="Arial" w:cs="Arial"/>
          <w:b/>
          <w:caps/>
          <w:color w:val="0000FF"/>
        </w:rPr>
        <w:t>informačné a sieťové technológie</w:t>
      </w:r>
    </w:p>
    <w:p w:rsidR="00666310" w:rsidRPr="00D57419" w:rsidRDefault="00666310" w:rsidP="00D57419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57419">
        <w:rPr>
          <w:rFonts w:ascii="Arial" w:hAnsi="Arial" w:cs="Arial"/>
          <w:sz w:val="22"/>
          <w:szCs w:val="22"/>
        </w:rPr>
        <w:t>Tab. č.1</w:t>
      </w:r>
      <w:r w:rsidR="00364362" w:rsidRPr="00D57419">
        <w:rPr>
          <w:rFonts w:ascii="Arial" w:hAnsi="Arial" w:cs="Arial"/>
          <w:sz w:val="22"/>
          <w:szCs w:val="22"/>
        </w:rPr>
        <w:t xml:space="preserve"> </w:t>
      </w:r>
      <w:r w:rsidR="00F11CDC">
        <w:rPr>
          <w:rFonts w:ascii="Arial" w:hAnsi="Arial" w:cs="Arial"/>
          <w:sz w:val="22"/>
          <w:szCs w:val="22"/>
        </w:rPr>
        <w:tab/>
      </w:r>
      <w:r w:rsidR="00364362" w:rsidRPr="00D57419">
        <w:rPr>
          <w:rFonts w:ascii="Arial" w:hAnsi="Arial" w:cs="Arial"/>
          <w:sz w:val="22"/>
          <w:szCs w:val="22"/>
        </w:rPr>
        <w:t>Prevod medzi RUP ŠVP a UP ŠkVP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1417"/>
        <w:gridCol w:w="1819"/>
        <w:gridCol w:w="1417"/>
        <w:gridCol w:w="1547"/>
      </w:tblGrid>
      <w:tr w:rsidR="002B53F2" w:rsidRPr="00D57419" w:rsidTr="00A67DB3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2B53F2" w:rsidRPr="00D57419" w:rsidRDefault="002B53F2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Škola (názov, adresa)</w:t>
            </w:r>
          </w:p>
        </w:tc>
        <w:tc>
          <w:tcPr>
            <w:tcW w:w="62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2B53F2" w:rsidRPr="00D57419" w:rsidRDefault="002B53F2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Stredná odborná škola techniky a služieb, Laskomerského 3,</w:t>
            </w:r>
          </w:p>
          <w:p w:rsidR="002B53F2" w:rsidRPr="00D57419" w:rsidRDefault="002B53F2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977 46 Brezno</w:t>
            </w:r>
          </w:p>
        </w:tc>
      </w:tr>
      <w:tr w:rsidR="002B53F2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B53F2" w:rsidRPr="00D57419" w:rsidRDefault="002B53F2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Názov ŠkVP</w:t>
            </w:r>
          </w:p>
        </w:tc>
        <w:tc>
          <w:tcPr>
            <w:tcW w:w="62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2B53F2" w:rsidRPr="00D57419" w:rsidRDefault="002B53F2" w:rsidP="00497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Informačné a sieťové technológie</w:t>
            </w:r>
          </w:p>
        </w:tc>
      </w:tr>
      <w:tr w:rsidR="002B53F2" w:rsidRPr="00D57419" w:rsidTr="00A67DB3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2B53F2" w:rsidRPr="00D57419" w:rsidRDefault="002B53F2" w:rsidP="00497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Kód a názov  ŠVP</w:t>
            </w:r>
          </w:p>
        </w:tc>
        <w:tc>
          <w:tcPr>
            <w:tcW w:w="62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2B53F2" w:rsidRPr="00D57419" w:rsidRDefault="002B53F2" w:rsidP="00497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25 Informačné a komunikačné technológie</w:t>
            </w:r>
          </w:p>
        </w:tc>
      </w:tr>
      <w:tr w:rsidR="002B53F2" w:rsidRPr="00D57419" w:rsidTr="00A67DB3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2B53F2" w:rsidRPr="00D57419" w:rsidRDefault="002B53F2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62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2B53F2" w:rsidRPr="00D57419" w:rsidRDefault="002B53F2" w:rsidP="00D5741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2561 M informačné a sieťové technológie</w:t>
            </w:r>
          </w:p>
        </w:tc>
      </w:tr>
      <w:tr w:rsidR="00B070AD" w:rsidRPr="00D57419" w:rsidTr="00A67DB3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B070AD" w:rsidRPr="00D57419" w:rsidRDefault="00B070AD" w:rsidP="00FD7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5CA">
              <w:rPr>
                <w:rFonts w:ascii="Arial" w:hAnsi="Arial" w:cs="Arial"/>
                <w:b/>
                <w:sz w:val="20"/>
                <w:szCs w:val="20"/>
              </w:rPr>
              <w:t>ISCED 2011</w:t>
            </w:r>
          </w:p>
        </w:tc>
        <w:tc>
          <w:tcPr>
            <w:tcW w:w="62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B070AD" w:rsidRPr="001F7D1B" w:rsidRDefault="00B070AD" w:rsidP="00FD77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D1B">
              <w:rPr>
                <w:rFonts w:ascii="Arial" w:hAnsi="Arial" w:cs="Arial"/>
                <w:b/>
                <w:sz w:val="20"/>
                <w:szCs w:val="20"/>
              </w:rPr>
              <w:t>úplné stredné odborné vzdelanie s maturitou bez výučného listu - ISCED 354</w:t>
            </w:r>
          </w:p>
        </w:tc>
      </w:tr>
      <w:tr w:rsidR="00B070AD" w:rsidRPr="00D57419" w:rsidTr="00FD77CD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B070AD" w:rsidRPr="00384643" w:rsidRDefault="00B070AD" w:rsidP="00FD77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Úroveň Slovenského kvalifikačného rámca a Európskeho kvalifikačného rámca </w:t>
            </w:r>
            <w:r w:rsidRPr="001F7D1B">
              <w:rPr>
                <w:rFonts w:ascii="Arial" w:hAnsi="Arial" w:cs="Arial"/>
                <w:b/>
                <w:sz w:val="20"/>
                <w:szCs w:val="20"/>
              </w:rPr>
              <w:t>SKKR/EKR</w:t>
            </w:r>
          </w:p>
        </w:tc>
        <w:tc>
          <w:tcPr>
            <w:tcW w:w="62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B070AD" w:rsidRPr="00862687" w:rsidRDefault="00B070AD" w:rsidP="00FD77C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62687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</w:tc>
      </w:tr>
      <w:tr w:rsidR="00862687" w:rsidRPr="00D57419" w:rsidTr="00A67DB3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62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4 roky</w:t>
            </w:r>
          </w:p>
        </w:tc>
      </w:tr>
      <w:tr w:rsidR="00862687" w:rsidRPr="00D57419" w:rsidTr="00A67DB3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Forma štúdia</w:t>
            </w:r>
          </w:p>
        </w:tc>
        <w:tc>
          <w:tcPr>
            <w:tcW w:w="62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denná</w:t>
            </w:r>
          </w:p>
        </w:tc>
      </w:tr>
      <w:tr w:rsidR="00862687" w:rsidRPr="00D57419" w:rsidTr="00A67DB3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Druh školy</w:t>
            </w:r>
          </w:p>
        </w:tc>
        <w:tc>
          <w:tcPr>
            <w:tcW w:w="62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štátna</w:t>
            </w:r>
          </w:p>
        </w:tc>
      </w:tr>
      <w:tr w:rsidR="00862687" w:rsidRPr="00D57419" w:rsidTr="00A67DB3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Vyučovací jazyk</w:t>
            </w:r>
          </w:p>
        </w:tc>
        <w:tc>
          <w:tcPr>
            <w:tcW w:w="620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slovenský jazyk</w:t>
            </w:r>
          </w:p>
        </w:tc>
      </w:tr>
      <w:tr w:rsidR="00862687" w:rsidRPr="00D57419" w:rsidTr="007D0B9F">
        <w:trPr>
          <w:jc w:val="center"/>
        </w:trPr>
        <w:tc>
          <w:tcPr>
            <w:tcW w:w="414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RUP štátneho vzdelávacieho programu</w:t>
            </w:r>
          </w:p>
        </w:tc>
        <w:tc>
          <w:tcPr>
            <w:tcW w:w="478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Školský vzdelávací program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Vzdelávacie oblasti</w:t>
            </w:r>
          </w:p>
          <w:p w:rsidR="00862687" w:rsidRPr="00D57419" w:rsidRDefault="00862687" w:rsidP="00497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Obsahové štandardy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Minimálny počet týždenných vyučovacích hodín celkom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Vyučovací predmet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Počet týž. vyučovacích hodín celkom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862687" w:rsidRPr="00D57419" w:rsidRDefault="00862687" w:rsidP="004973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Disponibilné hodiny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Všeobecné vzdelávanie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Jazyk a komunikácia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2B53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Zvuková rovina jazyka a pravopis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2B53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Významová/lexikálna rovina jazyka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2B53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Tvarová/morfologická rovina jazyka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Syntaktická/skladobná rovina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Sloh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Jazykoveda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Jazyk a reč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Učenie sa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Práca s informáciami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Jazyková kultúra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Všeobecné pojmy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Literárne obdobia a smery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Literárne druhy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Štruktúra literárneho diela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Štylizácia textu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Metrika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2B53F2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Práca s textom a získavanie informácií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Počúvanie s porozumením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lastRenderedPageBreak/>
              <w:t>Cudzí jazyk</w:t>
            </w:r>
          </w:p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lastRenderedPageBreak/>
              <w:t>Anglický jazyk</w:t>
            </w:r>
          </w:p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Nemecký jazyk</w:t>
            </w:r>
          </w:p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Ruský jazyk</w:t>
            </w:r>
          </w:p>
          <w:p w:rsidR="00862687" w:rsidRPr="00D57419" w:rsidRDefault="00862687" w:rsidP="00DB2D5F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lastRenderedPageBreak/>
              <w:t>Čítanie s porozumením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lastRenderedPageBreak/>
              <w:t>Písomný prejav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230"/>
          <w:jc w:val="center"/>
        </w:trPr>
        <w:tc>
          <w:tcPr>
            <w:tcW w:w="273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Ústny prejav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167"/>
          <w:jc w:val="center"/>
        </w:trPr>
        <w:tc>
          <w:tcPr>
            <w:tcW w:w="273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Interkultúrna komunikácia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 xml:space="preserve">Človek a hodnoty 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trHeight w:val="20"/>
          <w:jc w:val="center"/>
        </w:trPr>
        <w:tc>
          <w:tcPr>
            <w:tcW w:w="2731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Úvod do spoločenskovedného vzdelávania. Psychológia osobnosti.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Etická výchova</w:t>
            </w:r>
          </w:p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/Náboženská výchova</w:t>
            </w:r>
          </w:p>
        </w:tc>
        <w:tc>
          <w:tcPr>
            <w:tcW w:w="1417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Sociálna psychológia a základy komunikácie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Pravek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Dejepis</w:t>
            </w:r>
          </w:p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Starovek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Stredovek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Novovek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Moderné dejiny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Človek v sociálno – politických vzťahoch</w:t>
            </w: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Občianska náuka</w:t>
            </w: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Psychosociálny status človeka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Ľudské práva a možnosti integrácie politickej spoločnosti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Dejiny filozofie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Fyzikálne vzdelávanie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20"/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Mechanika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Energia okolo nás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Elektromagnetické žiarenie a fyzika mikrosveta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Molekulová fyzika a termodynamika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Vlastnosti kvapalín a plynov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7419">
              <w:rPr>
                <w:rFonts w:ascii="Arial" w:hAnsi="Arial" w:cs="Arial"/>
                <w:sz w:val="20"/>
                <w:szCs w:val="20"/>
                <w:lang w:eastAsia="en-US"/>
              </w:rPr>
              <w:t>Periodické deje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Optika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Chemické vzdelávanie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top w:val="thickThin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Atómy a chemické prvky, periodická sústava prvkov</w:t>
            </w:r>
          </w:p>
        </w:tc>
        <w:tc>
          <w:tcPr>
            <w:tcW w:w="1417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19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  <w:tc>
          <w:tcPr>
            <w:tcW w:w="1417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Chemická väzba a štruktúra látok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Základy názvoslovia anorganických látok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Zmesi a roztoky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Chemické reakcie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Prvky a anorganické zlúčeniny dôležité v bežnom živote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50"/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Charakteristika a rozdelenie organických látok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217"/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Biolátky</w:t>
            </w: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Matematika a práca s informác</w:t>
            </w:r>
            <w:r w:rsidRPr="007D0B9F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iami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Čísla, premenné a počtové výkony s číslami</w:t>
            </w:r>
          </w:p>
        </w:tc>
        <w:tc>
          <w:tcPr>
            <w:tcW w:w="1417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A396D" w:rsidRDefault="007A396D">
      <w:r>
        <w:br w:type="page"/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1417"/>
        <w:gridCol w:w="1819"/>
        <w:gridCol w:w="1417"/>
        <w:gridCol w:w="1547"/>
      </w:tblGrid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lastRenderedPageBreak/>
              <w:t>Vzťahy, funkcie, tabuľky a diagramy</w:t>
            </w: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Geometria a meranie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Kombinatorika, pravdepodobnosti a štatistika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113"/>
          <w:jc w:val="center"/>
        </w:trPr>
        <w:tc>
          <w:tcPr>
            <w:tcW w:w="2731" w:type="dxa"/>
            <w:tcBorders>
              <w:top w:val="single" w:sz="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Logika, dôvodenie a dôrazy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Práca s údajmi a informáciami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Zdravie a p</w:t>
            </w:r>
            <w:r w:rsidRPr="007D0B9F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ohyb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Zdravie a jeho poruchy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Telesná a športová výchova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Zdravý životný štýl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Telesná zdatnosť a pohybová výkonnosť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Športové činnosti pohybového režimu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B676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Teoretické vzdelávanie</w:t>
            </w:r>
          </w:p>
        </w:tc>
        <w:tc>
          <w:tcPr>
            <w:tcW w:w="1417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B6763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819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Odborné vzdelávanie</w:t>
            </w:r>
          </w:p>
        </w:tc>
        <w:tc>
          <w:tcPr>
            <w:tcW w:w="1417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B6763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47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B6763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Svet práce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Ekonomika</w:t>
            </w:r>
          </w:p>
        </w:tc>
        <w:tc>
          <w:tcPr>
            <w:tcW w:w="14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862687" w:rsidRPr="00D57419" w:rsidRDefault="00862687" w:rsidP="0098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Pravidlá riadenia osobných financií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Výchova k podnikaniu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Spotrebiteľská výchova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trHeight w:val="380"/>
          <w:jc w:val="center"/>
        </w:trPr>
        <w:tc>
          <w:tcPr>
            <w:tcW w:w="27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57419">
            <w:pPr>
              <w:pStyle w:val="Default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Základy elektrotechniky a elektroniky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A67D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A67D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Elektrotechnika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A67D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A67DB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trHeight w:val="320"/>
          <w:jc w:val="center"/>
        </w:trPr>
        <w:tc>
          <w:tcPr>
            <w:tcW w:w="27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Elektronika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687" w:rsidRPr="00D57419" w:rsidTr="007D0B9F">
        <w:trPr>
          <w:trHeight w:val="320"/>
          <w:jc w:val="center"/>
        </w:trPr>
        <w:tc>
          <w:tcPr>
            <w:tcW w:w="27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Elektrotechnické merania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687" w:rsidRPr="00D57419" w:rsidTr="007D0B9F">
        <w:trPr>
          <w:trHeight w:val="320"/>
          <w:jc w:val="center"/>
        </w:trPr>
        <w:tc>
          <w:tcPr>
            <w:tcW w:w="27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vecí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687" w:rsidRPr="00D57419" w:rsidTr="007D0B9F">
        <w:trPr>
          <w:trHeight w:val="291"/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957CD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Softvérové aplikácie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Aplikovaná informatika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trHeight w:val="424"/>
          <w:jc w:val="center"/>
        </w:trPr>
        <w:tc>
          <w:tcPr>
            <w:tcW w:w="27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957CD">
            <w:pPr>
              <w:pStyle w:val="Default"/>
              <w:spacing w:before="240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PC architektúra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Počítačová architektúra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trHeight w:val="308"/>
          <w:jc w:val="center"/>
        </w:trPr>
        <w:tc>
          <w:tcPr>
            <w:tcW w:w="27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Základy priemyselnej informatiky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957CD">
            <w:pPr>
              <w:pStyle w:val="Default"/>
              <w:spacing w:before="120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Operačné systémy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Operačné systémy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957CD">
            <w:pPr>
              <w:pStyle w:val="Default"/>
              <w:spacing w:before="120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Sieťové technológie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Základy počítačových sietí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957CD">
            <w:pPr>
              <w:pStyle w:val="Default"/>
              <w:spacing w:before="120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Databázové aplikácie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Databázové aplikácie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32F5A">
            <w:pPr>
              <w:pStyle w:val="Default"/>
              <w:rPr>
                <w:bCs/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Grafické a dokumentačné systémy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Technická dokumentácia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B6763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Praktická príprava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B67639">
            <w:pPr>
              <w:spacing w:before="12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 xml:space="preserve">Praktická príprava 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B6763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862687" w:rsidRPr="00D57419" w:rsidRDefault="00862687" w:rsidP="00B67639">
            <w:pPr>
              <w:spacing w:before="12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957CD">
            <w:pPr>
              <w:pStyle w:val="Default"/>
              <w:spacing w:before="120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Serverové technológie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Serverové technológie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E957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trHeight w:val="283"/>
          <w:jc w:val="center"/>
        </w:trPr>
        <w:tc>
          <w:tcPr>
            <w:tcW w:w="273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957CD">
            <w:pPr>
              <w:pStyle w:val="Default"/>
              <w:spacing w:before="120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Programovanie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Programovanie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trHeight w:val="223"/>
          <w:jc w:val="center"/>
        </w:trPr>
        <w:tc>
          <w:tcPr>
            <w:tcW w:w="27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E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Webové aplikácie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687" w:rsidRPr="00D57419" w:rsidTr="007D0B9F">
        <w:trPr>
          <w:trHeight w:val="223"/>
          <w:jc w:val="center"/>
        </w:trPr>
        <w:tc>
          <w:tcPr>
            <w:tcW w:w="273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4973A5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E32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Robotika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32F5A">
            <w:pPr>
              <w:pStyle w:val="Default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Ochranné a preventívne technologické opatrenia</w:t>
            </w: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A67D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Odborná prax</w:t>
            </w: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trHeight w:val="534"/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32F5A">
            <w:pPr>
              <w:pStyle w:val="Default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Ochrana zdravia a bezpečnosť pri práci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32F5A">
            <w:pPr>
              <w:pStyle w:val="Default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Obsluha a diagnostika IKT zariadení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9374F2">
        <w:trPr>
          <w:trHeight w:val="397"/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32F5A">
            <w:pPr>
              <w:pStyle w:val="Default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lastRenderedPageBreak/>
              <w:t>Bezpečnosť a ochrana zdravia pri práci</w:t>
            </w: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Elektrotechnická spôsobilosť</w:t>
            </w: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32F5A">
            <w:pPr>
              <w:pStyle w:val="Default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Požiarna ochrana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32F5A">
            <w:pPr>
              <w:pStyle w:val="Default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Poskytovanie prvej pomoci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32F5A">
            <w:pPr>
              <w:pStyle w:val="Default"/>
              <w:rPr>
                <w:bCs/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Zákony, vyhlášky a ďalšie predpisy používané v elektrotechnike</w:t>
            </w: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32F5A">
            <w:pPr>
              <w:pStyle w:val="Default"/>
              <w:rPr>
                <w:bCs/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Sieťové technológie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Počítačové siete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32F5A">
            <w:pPr>
              <w:pStyle w:val="Default"/>
              <w:rPr>
                <w:bCs/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Softvérové aplikácie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Robotika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62687" w:rsidRPr="00D57419" w:rsidRDefault="00862687" w:rsidP="00E957CD">
            <w:pPr>
              <w:pStyle w:val="Default"/>
              <w:spacing w:before="120"/>
              <w:rPr>
                <w:sz w:val="20"/>
                <w:szCs w:val="20"/>
              </w:rPr>
            </w:pPr>
            <w:r w:rsidRPr="00D57419">
              <w:rPr>
                <w:bCs/>
                <w:sz w:val="20"/>
                <w:szCs w:val="20"/>
              </w:rPr>
              <w:t>Základy elektrotechniky a elektroniky</w:t>
            </w:r>
          </w:p>
        </w:tc>
        <w:tc>
          <w:tcPr>
            <w:tcW w:w="141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Elektrotechnické merania - cvičenia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A67DB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CELKOM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caps/>
                <w:sz w:val="20"/>
                <w:szCs w:val="20"/>
              </w:rPr>
              <w:t>Účelové kurzy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DB2D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Účelové cvičenia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Každý polrok/ 1 a 2. ročník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4x 6 hodín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Kurz na ochranu života a zdravia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3.ročník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 dni / 6 hodín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687" w:rsidRPr="00D57419" w:rsidTr="007D0B9F">
        <w:trPr>
          <w:jc w:val="center"/>
        </w:trPr>
        <w:tc>
          <w:tcPr>
            <w:tcW w:w="27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Kurz pohybových aktivít v prírode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Zimné športy</w:t>
            </w:r>
          </w:p>
          <w:p w:rsidR="00862687" w:rsidRPr="00D57419" w:rsidRDefault="00862687" w:rsidP="00DB2D5F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Letné športy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 a 2 ročník</w:t>
            </w:r>
          </w:p>
        </w:tc>
        <w:tc>
          <w:tcPr>
            <w:tcW w:w="15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862687" w:rsidRPr="00D57419" w:rsidRDefault="00862687" w:rsidP="00497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5 dní/min 15 hod</w:t>
            </w:r>
          </w:p>
        </w:tc>
      </w:tr>
    </w:tbl>
    <w:p w:rsidR="00862687" w:rsidRDefault="00862687" w:rsidP="00D57419">
      <w:pPr>
        <w:spacing w:before="1440" w:after="240"/>
        <w:rPr>
          <w:rFonts w:ascii="Arial" w:hAnsi="Arial" w:cs="Arial"/>
          <w:sz w:val="20"/>
          <w:szCs w:val="20"/>
        </w:rPr>
      </w:pPr>
    </w:p>
    <w:p w:rsidR="00862687" w:rsidRDefault="00862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973A5" w:rsidRPr="00D57419" w:rsidRDefault="00364362" w:rsidP="00D57419">
      <w:pPr>
        <w:spacing w:before="1440" w:after="240"/>
        <w:rPr>
          <w:rFonts w:ascii="Arial" w:hAnsi="Arial" w:cs="Arial"/>
          <w:sz w:val="20"/>
          <w:szCs w:val="20"/>
        </w:rPr>
      </w:pPr>
      <w:r w:rsidRPr="00D57419">
        <w:rPr>
          <w:rFonts w:ascii="Arial" w:hAnsi="Arial" w:cs="Arial"/>
          <w:sz w:val="20"/>
          <w:szCs w:val="20"/>
        </w:rPr>
        <w:lastRenderedPageBreak/>
        <w:t xml:space="preserve">Tab. č. 2 </w:t>
      </w:r>
      <w:r w:rsidR="00F11CDC">
        <w:rPr>
          <w:rFonts w:ascii="Arial" w:hAnsi="Arial" w:cs="Arial"/>
          <w:sz w:val="20"/>
          <w:szCs w:val="20"/>
        </w:rPr>
        <w:tab/>
      </w:r>
      <w:r w:rsidRPr="00D57419">
        <w:rPr>
          <w:rFonts w:ascii="Arial" w:hAnsi="Arial" w:cs="Arial"/>
          <w:sz w:val="20"/>
          <w:szCs w:val="20"/>
        </w:rPr>
        <w:t>UP ŠkVP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  <w:gridCol w:w="1037"/>
        <w:gridCol w:w="1036"/>
        <w:gridCol w:w="1012"/>
        <w:gridCol w:w="1006"/>
        <w:gridCol w:w="1128"/>
      </w:tblGrid>
      <w:tr w:rsidR="00D8589B" w:rsidRPr="00D57419" w:rsidTr="00DD79E7">
        <w:trPr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8589B" w:rsidRPr="00D57419" w:rsidRDefault="00D8589B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Škola (názov, adresa)</w:t>
            </w:r>
          </w:p>
        </w:tc>
        <w:tc>
          <w:tcPr>
            <w:tcW w:w="521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8589B" w:rsidRPr="00D57419" w:rsidRDefault="00D8589B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Stredná odborná škola techniky a služieb, Laskomerského 3,</w:t>
            </w:r>
          </w:p>
          <w:p w:rsidR="00D8589B" w:rsidRPr="00D57419" w:rsidRDefault="00D8589B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977 46 Brezno</w:t>
            </w:r>
          </w:p>
        </w:tc>
      </w:tr>
      <w:tr w:rsidR="00D8589B" w:rsidRPr="00D57419" w:rsidTr="00DD79E7">
        <w:trPr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8589B" w:rsidRPr="00D57419" w:rsidRDefault="00D8589B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Názov ŠkVP</w:t>
            </w:r>
          </w:p>
        </w:tc>
        <w:tc>
          <w:tcPr>
            <w:tcW w:w="521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8589B" w:rsidRPr="00D57419" w:rsidRDefault="00871794" w:rsidP="00D858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Informačné a sieťové technológie</w:t>
            </w:r>
          </w:p>
        </w:tc>
      </w:tr>
      <w:tr w:rsidR="00D8589B" w:rsidRPr="00D57419" w:rsidTr="00DD79E7">
        <w:trPr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8589B" w:rsidRPr="00D57419" w:rsidRDefault="00D8589B" w:rsidP="00967A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Kód a</w:t>
            </w:r>
            <w:r w:rsidR="00967AA1" w:rsidRPr="00D57419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57419">
              <w:rPr>
                <w:rFonts w:ascii="Arial" w:hAnsi="Arial" w:cs="Arial"/>
                <w:b/>
                <w:sz w:val="20"/>
                <w:szCs w:val="20"/>
              </w:rPr>
              <w:t>názovŠVP</w:t>
            </w:r>
          </w:p>
        </w:tc>
        <w:tc>
          <w:tcPr>
            <w:tcW w:w="521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8589B" w:rsidRPr="00D57419" w:rsidRDefault="00871794" w:rsidP="008717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25 Informačné a komunikačné technológie</w:t>
            </w:r>
          </w:p>
        </w:tc>
      </w:tr>
      <w:tr w:rsidR="00D8589B" w:rsidRPr="00D57419" w:rsidTr="00DD79E7">
        <w:trPr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8589B" w:rsidRPr="00D57419" w:rsidRDefault="00D8589B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5219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8589B" w:rsidRPr="00D57419" w:rsidRDefault="00871794" w:rsidP="00D858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2561 M informačné a sieťové technológie</w:t>
            </w:r>
          </w:p>
        </w:tc>
      </w:tr>
      <w:tr w:rsidR="00D8589B" w:rsidRPr="00D57419" w:rsidTr="00DD79E7">
        <w:trPr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8589B" w:rsidRPr="00D57419" w:rsidRDefault="00D8589B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  <w:r w:rsidR="001F7D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7D1B" w:rsidRPr="00AE45CA">
              <w:rPr>
                <w:rFonts w:ascii="Arial" w:hAnsi="Arial" w:cs="Arial"/>
                <w:b/>
                <w:sz w:val="20"/>
                <w:szCs w:val="20"/>
              </w:rPr>
              <w:t>ISCED 2011</w:t>
            </w:r>
          </w:p>
        </w:tc>
        <w:tc>
          <w:tcPr>
            <w:tcW w:w="5219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8589B" w:rsidRPr="001F7D1B" w:rsidRDefault="001F7D1B" w:rsidP="00D858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7D1B">
              <w:rPr>
                <w:rFonts w:ascii="Arial" w:hAnsi="Arial" w:cs="Arial"/>
                <w:b/>
                <w:sz w:val="20"/>
                <w:szCs w:val="20"/>
              </w:rPr>
              <w:t>úplné stredné odborné vzdelanie s maturitou bez výučného listu - ISCED 354</w:t>
            </w:r>
          </w:p>
        </w:tc>
      </w:tr>
      <w:tr w:rsidR="00862687" w:rsidRPr="00D57419" w:rsidTr="00DD79E7">
        <w:trPr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384643" w:rsidRDefault="001F7D1B" w:rsidP="00FD77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Úroveň Slovenského kvalifikačného rámca a Európskeho kvalifikačného rámca </w:t>
            </w:r>
            <w:r w:rsidRPr="001F7D1B">
              <w:rPr>
                <w:rFonts w:ascii="Arial" w:hAnsi="Arial" w:cs="Arial"/>
                <w:b/>
                <w:sz w:val="20"/>
                <w:szCs w:val="20"/>
              </w:rPr>
              <w:t>SKKR/EKR</w:t>
            </w:r>
          </w:p>
        </w:tc>
        <w:tc>
          <w:tcPr>
            <w:tcW w:w="5219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862687" w:rsidRPr="00862687" w:rsidRDefault="00862687" w:rsidP="001F7D1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62687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</w:tc>
      </w:tr>
      <w:tr w:rsidR="00862687" w:rsidRPr="00D57419" w:rsidTr="00DD79E7">
        <w:trPr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5219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4 roky</w:t>
            </w:r>
          </w:p>
        </w:tc>
      </w:tr>
      <w:tr w:rsidR="00862687" w:rsidRPr="00D57419" w:rsidTr="00DD79E7">
        <w:trPr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Forma štúdia</w:t>
            </w:r>
          </w:p>
        </w:tc>
        <w:tc>
          <w:tcPr>
            <w:tcW w:w="5219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denná</w:t>
            </w:r>
          </w:p>
        </w:tc>
      </w:tr>
      <w:tr w:rsidR="00862687" w:rsidRPr="00D57419" w:rsidTr="00DD79E7">
        <w:trPr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Druh školy</w:t>
            </w:r>
          </w:p>
        </w:tc>
        <w:tc>
          <w:tcPr>
            <w:tcW w:w="5219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štátna</w:t>
            </w:r>
          </w:p>
        </w:tc>
      </w:tr>
      <w:tr w:rsidR="00862687" w:rsidRPr="00D57419" w:rsidTr="00DD79E7">
        <w:trPr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862687" w:rsidRPr="00D57419" w:rsidRDefault="00862687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Vyučovací jazyk</w:t>
            </w:r>
          </w:p>
        </w:tc>
        <w:tc>
          <w:tcPr>
            <w:tcW w:w="5219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slovenský jazyk</w:t>
            </w:r>
          </w:p>
        </w:tc>
      </w:tr>
      <w:tr w:rsidR="0086268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Kategórie a názvy vyučovacích predmetov</w:t>
            </w:r>
          </w:p>
        </w:tc>
        <w:tc>
          <w:tcPr>
            <w:tcW w:w="521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Počet týždenných vyučovacích hodín v ročníku</w:t>
            </w:r>
          </w:p>
        </w:tc>
      </w:tr>
      <w:tr w:rsidR="0086268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86268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Všeobecnovzdelávacie predmety</w:t>
            </w:r>
          </w:p>
        </w:tc>
        <w:tc>
          <w:tcPr>
            <w:tcW w:w="10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862687" w:rsidRPr="00D57419" w:rsidRDefault="00862687" w:rsidP="00AA2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8"/>
          <w:jc w:val="center"/>
        </w:trPr>
        <w:tc>
          <w:tcPr>
            <w:tcW w:w="361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D79E7" w:rsidRPr="00D57419" w:rsidRDefault="00DD79E7" w:rsidP="008C7FAD">
            <w:pPr>
              <w:pBdr>
                <w:bottom w:val="single" w:sz="4" w:space="1" w:color="auto"/>
              </w:pBdr>
              <w:shd w:val="clear" w:color="auto" w:fill="C4BC96" w:themeFill="background2" w:themeFillShade="BF"/>
              <w:rPr>
                <w:rFonts w:ascii="Arial" w:hAnsi="Arial" w:cs="Arial"/>
                <w:b/>
                <w:sz w:val="20"/>
                <w:szCs w:val="20"/>
              </w:rPr>
            </w:pPr>
            <w:r w:rsidRPr="00BA508A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  <w:p w:rsidR="00DD79E7" w:rsidRPr="00D57419" w:rsidRDefault="00DD79E7" w:rsidP="000F560C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Slovenský  jazyk a literatúra   f)</w:t>
            </w:r>
          </w:p>
        </w:tc>
        <w:tc>
          <w:tcPr>
            <w:tcW w:w="1037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D79E7" w:rsidRPr="00D57419" w:rsidRDefault="00DD79E7" w:rsidP="00DD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7"/>
          <w:jc w:val="center"/>
        </w:trPr>
        <w:tc>
          <w:tcPr>
            <w:tcW w:w="3617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BA508A" w:rsidRDefault="00DD79E7" w:rsidP="008C7FAD">
            <w:pPr>
              <w:pBdr>
                <w:bottom w:val="single" w:sz="4" w:space="1" w:color="auto"/>
              </w:pBdr>
              <w:shd w:val="clear" w:color="auto" w:fill="C4BC96" w:themeFill="background2" w:themeFillShade="BF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D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0F560C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 xml:space="preserve">Cudzí jazyk   g) 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4BC96" w:themeFill="background2" w:themeFillShade="BF"/>
          </w:tcPr>
          <w:p w:rsidR="00DD79E7" w:rsidRPr="00D57419" w:rsidRDefault="00DD79E7" w:rsidP="000F560C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D79E7" w:rsidRPr="00D57419" w:rsidRDefault="00DD79E7" w:rsidP="00DD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D79E7" w:rsidRPr="00D57419" w:rsidRDefault="00DD79E7" w:rsidP="00DD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D79E7" w:rsidRPr="00D57419" w:rsidRDefault="00DD79E7" w:rsidP="00DD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D79E7" w:rsidRPr="00D57419" w:rsidRDefault="00DD79E7" w:rsidP="00DD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DD79E7" w:rsidRPr="00D57419" w:rsidRDefault="00DD79E7" w:rsidP="00DD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D79E7" w:rsidRPr="00D57419" w:rsidRDefault="00DD79E7" w:rsidP="000F5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Etická  výchova/Náboženská výchova  h)</w:t>
            </w:r>
          </w:p>
        </w:tc>
        <w:tc>
          <w:tcPr>
            <w:tcW w:w="1037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D79E7" w:rsidRDefault="00DD79E7" w:rsidP="00DD7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E599"/>
            <w:vAlign w:val="center"/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52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4BC96" w:themeFill="background2" w:themeFillShade="BF"/>
          </w:tcPr>
          <w:p w:rsidR="00DD79E7" w:rsidRPr="00DD79E7" w:rsidRDefault="00DD79E7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79E7">
              <w:rPr>
                <w:rFonts w:ascii="Arial" w:hAnsi="Arial" w:cs="Arial"/>
                <w:b/>
                <w:sz w:val="20"/>
                <w:szCs w:val="20"/>
              </w:rPr>
              <w:t>Človek a spoločnosť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52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D79E7" w:rsidRPr="00D0154E" w:rsidRDefault="00DD79E7" w:rsidP="00D8589B">
            <w:pPr>
              <w:rPr>
                <w:rFonts w:ascii="Arial" w:hAnsi="Arial" w:cs="Arial"/>
                <w:sz w:val="20"/>
                <w:szCs w:val="20"/>
              </w:rPr>
            </w:pPr>
            <w:r w:rsidRPr="00D0154E">
              <w:rPr>
                <w:rFonts w:ascii="Arial" w:hAnsi="Arial" w:cs="Arial"/>
                <w:sz w:val="20"/>
                <w:szCs w:val="20"/>
              </w:rPr>
              <w:t>Dejepis i)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52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D79E7" w:rsidRPr="00D0154E" w:rsidRDefault="00DD79E7" w:rsidP="00D8589B">
            <w:pPr>
              <w:rPr>
                <w:rFonts w:ascii="Arial" w:hAnsi="Arial" w:cs="Arial"/>
                <w:sz w:val="20"/>
                <w:szCs w:val="20"/>
              </w:rPr>
            </w:pPr>
            <w:r w:rsidRPr="00D0154E">
              <w:rPr>
                <w:rFonts w:ascii="Arial" w:hAnsi="Arial" w:cs="Arial"/>
                <w:sz w:val="20"/>
                <w:szCs w:val="20"/>
              </w:rPr>
              <w:t>Občianska  náuka i)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52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4BC96" w:themeFill="background2" w:themeFillShade="BF"/>
          </w:tcPr>
          <w:p w:rsidR="00DD79E7" w:rsidRPr="00D0154E" w:rsidRDefault="00DD79E7" w:rsidP="00D8589B">
            <w:pPr>
              <w:rPr>
                <w:rFonts w:ascii="Arial" w:hAnsi="Arial" w:cs="Arial"/>
                <w:sz w:val="20"/>
                <w:szCs w:val="20"/>
              </w:rPr>
            </w:pPr>
            <w:r w:rsidRPr="009916DB"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67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D79E7" w:rsidRPr="00D0154E" w:rsidRDefault="00DD79E7" w:rsidP="000F560C">
            <w:pPr>
              <w:rPr>
                <w:rFonts w:ascii="Arial" w:hAnsi="Arial" w:cs="Arial"/>
                <w:sz w:val="20"/>
                <w:szCs w:val="20"/>
              </w:rPr>
            </w:pPr>
            <w:r w:rsidRPr="00D0154E">
              <w:rPr>
                <w:rFonts w:ascii="Arial" w:hAnsi="Arial" w:cs="Arial"/>
                <w:sz w:val="20"/>
                <w:szCs w:val="20"/>
              </w:rPr>
              <w:t>Fyzika   k)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0F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0F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0F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0F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0F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67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D79E7" w:rsidRPr="00D0154E" w:rsidRDefault="00DD79E7" w:rsidP="000F560C">
            <w:pPr>
              <w:rPr>
                <w:rFonts w:ascii="Arial" w:hAnsi="Arial" w:cs="Arial"/>
                <w:sz w:val="20"/>
                <w:szCs w:val="20"/>
              </w:rPr>
            </w:pPr>
            <w:r w:rsidRPr="00D0154E">
              <w:rPr>
                <w:rFonts w:ascii="Arial" w:hAnsi="Arial" w:cs="Arial"/>
                <w:sz w:val="20"/>
                <w:szCs w:val="20"/>
              </w:rPr>
              <w:t>Chémia k)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0F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0F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0F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0F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0F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80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4BC96" w:themeFill="background2" w:themeFillShade="BF"/>
          </w:tcPr>
          <w:p w:rsidR="00DD79E7" w:rsidRPr="00D0154E" w:rsidRDefault="00DD79E7" w:rsidP="008C7FAD">
            <w:pPr>
              <w:shd w:val="clear" w:color="auto" w:fill="C4BC96" w:themeFill="background2" w:themeFillShade="BF"/>
              <w:rPr>
                <w:rFonts w:ascii="Arial" w:hAnsi="Arial" w:cs="Arial"/>
                <w:sz w:val="20"/>
                <w:szCs w:val="20"/>
              </w:rPr>
            </w:pPr>
            <w:r w:rsidRPr="00D0154E">
              <w:rPr>
                <w:rFonts w:ascii="Arial" w:hAnsi="Arial" w:cs="Arial"/>
                <w:b/>
                <w:sz w:val="20"/>
                <w:szCs w:val="20"/>
              </w:rPr>
              <w:t>Matematika a práca s informáciami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70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D79E7" w:rsidRPr="00D0154E" w:rsidRDefault="00DD79E7" w:rsidP="00685D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54E">
              <w:rPr>
                <w:rFonts w:ascii="Arial" w:hAnsi="Arial" w:cs="Arial"/>
                <w:sz w:val="20"/>
                <w:szCs w:val="20"/>
              </w:rPr>
              <w:t>Matematika   l)</w:t>
            </w:r>
          </w:p>
        </w:tc>
        <w:tc>
          <w:tcPr>
            <w:tcW w:w="1037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0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4BC96" w:themeFill="background2" w:themeFillShade="BF"/>
          </w:tcPr>
          <w:p w:rsidR="00DD79E7" w:rsidRPr="00D0154E" w:rsidRDefault="00DD79E7" w:rsidP="008C7FAD">
            <w:pPr>
              <w:shd w:val="clear" w:color="auto" w:fill="C4BC96" w:themeFill="background2" w:themeFillShade="BF"/>
              <w:rPr>
                <w:rFonts w:ascii="Arial" w:hAnsi="Arial" w:cs="Arial"/>
                <w:sz w:val="20"/>
                <w:szCs w:val="20"/>
              </w:rPr>
            </w:pPr>
            <w:r w:rsidRPr="00D0154E">
              <w:rPr>
                <w:rFonts w:ascii="Arial" w:hAnsi="Arial" w:cs="Arial"/>
                <w:b/>
                <w:sz w:val="20"/>
                <w:szCs w:val="20"/>
              </w:rPr>
              <w:t>Zdravie a pohyb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FFFF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10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D79E7" w:rsidRPr="00D0154E" w:rsidRDefault="00DD79E7" w:rsidP="00685D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54E">
              <w:rPr>
                <w:rFonts w:ascii="Arial" w:hAnsi="Arial" w:cs="Arial"/>
                <w:sz w:val="20"/>
                <w:szCs w:val="20"/>
              </w:rPr>
              <w:t>Telesná  a športová výchova   m)</w:t>
            </w:r>
          </w:p>
        </w:tc>
        <w:tc>
          <w:tcPr>
            <w:tcW w:w="1037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FD7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05"/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Odborné predmety</w:t>
            </w:r>
          </w:p>
        </w:tc>
        <w:tc>
          <w:tcPr>
            <w:tcW w:w="10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602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735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0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B15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6021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 xml:space="preserve">Teoretické vzdelávanie </w:t>
            </w:r>
          </w:p>
        </w:tc>
        <w:tc>
          <w:tcPr>
            <w:tcW w:w="10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206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E00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Elektrotechnika d), e)</w:t>
            </w:r>
          </w:p>
        </w:tc>
        <w:tc>
          <w:tcPr>
            <w:tcW w:w="1037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Elektronika d), e)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Počítačová  architektúra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Základy počítačových sietí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Ekonomika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Elektrotechnické merania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Základy priemyselnej informatiky d), e)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Internet vecí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 xml:space="preserve">Databázové aplikácie d), e) 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Operačné systémy d), e)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Aplikovaná informatika d), e), l)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D79E7" w:rsidRPr="00DB2D5F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Technická dokumentácia d), e)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D8589B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Praktická príprava</w:t>
            </w:r>
          </w:p>
        </w:tc>
        <w:tc>
          <w:tcPr>
            <w:tcW w:w="1037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7358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ED0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B15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206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Elektrotechnické merania – cvičenia e), o)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Robotika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Programovanie e), o)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Webové aplikácie e), o)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Počítačové siete e), o)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Serverové technológie e), o)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Elektrotechnická spôsobilosť e), o)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Odborná prax e), o)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B2D5F" w:rsidRDefault="00DD79E7" w:rsidP="00FD77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2D5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04"/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A67DB3">
            <w:pPr>
              <w:pStyle w:val="Nadpis3"/>
              <w:spacing w:before="120" w:after="120"/>
              <w:rPr>
                <w:sz w:val="20"/>
                <w:szCs w:val="20"/>
              </w:rPr>
            </w:pPr>
            <w:r w:rsidRPr="00D57419">
              <w:rPr>
                <w:sz w:val="20"/>
                <w:szCs w:val="20"/>
              </w:rPr>
              <w:t>Spolu</w:t>
            </w:r>
          </w:p>
        </w:tc>
        <w:tc>
          <w:tcPr>
            <w:tcW w:w="10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A67D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0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A67D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0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A67D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A67D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D79E7" w:rsidRPr="00D57419" w:rsidRDefault="00DD79E7" w:rsidP="00A67D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6"/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Účelové kurzy</w:t>
            </w:r>
          </w:p>
        </w:tc>
        <w:tc>
          <w:tcPr>
            <w:tcW w:w="10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E599"/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6"/>
          <w:jc w:val="center"/>
        </w:trPr>
        <w:tc>
          <w:tcPr>
            <w:tcW w:w="361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50D45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Účelové cvičenia  r)</w:t>
            </w:r>
          </w:p>
        </w:tc>
        <w:tc>
          <w:tcPr>
            <w:tcW w:w="103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68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10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687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 dni</w:t>
            </w:r>
          </w:p>
        </w:tc>
        <w:tc>
          <w:tcPr>
            <w:tcW w:w="101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24 hodín</w:t>
            </w:r>
          </w:p>
        </w:tc>
      </w:tr>
      <w:tr w:rsidR="00DD79E7" w:rsidRPr="00D57419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Kurz ochrany života a zdravia r)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3 dni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18 hodín</w:t>
            </w:r>
          </w:p>
        </w:tc>
      </w:tr>
      <w:tr w:rsidR="00DD79E7" w:rsidRPr="00DD531C" w:rsidTr="00DD79E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8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Kurz pohybových aktivít v prírode r)</w:t>
            </w:r>
          </w:p>
        </w:tc>
        <w:tc>
          <w:tcPr>
            <w:tcW w:w="103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5 dní</w:t>
            </w:r>
          </w:p>
        </w:tc>
        <w:tc>
          <w:tcPr>
            <w:tcW w:w="103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5 dní</w:t>
            </w:r>
          </w:p>
        </w:tc>
        <w:tc>
          <w:tcPr>
            <w:tcW w:w="101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79E7" w:rsidRPr="00D57419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D79E7" w:rsidRPr="00DD531C" w:rsidRDefault="00DD79E7" w:rsidP="00D8589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531C">
              <w:rPr>
                <w:rFonts w:ascii="Arial" w:hAnsi="Arial" w:cs="Arial"/>
                <w:sz w:val="20"/>
                <w:szCs w:val="20"/>
              </w:rPr>
              <w:t xml:space="preserve"> 60 hodín</w:t>
            </w:r>
          </w:p>
        </w:tc>
      </w:tr>
    </w:tbl>
    <w:p w:rsidR="00D630DB" w:rsidRPr="00D57419" w:rsidRDefault="00D57419" w:rsidP="00D57419">
      <w:pPr>
        <w:spacing w:before="4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Prehľad využitia týždňov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1353"/>
        <w:gridCol w:w="1353"/>
        <w:gridCol w:w="1353"/>
        <w:gridCol w:w="1353"/>
      </w:tblGrid>
      <w:tr w:rsidR="00D630DB" w:rsidRPr="00D57419" w:rsidTr="00D50D45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630DB" w:rsidRPr="00D57419" w:rsidRDefault="00D630DB" w:rsidP="00A67DB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630DB" w:rsidRPr="00D57419" w:rsidRDefault="00D630DB" w:rsidP="00A67D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630DB" w:rsidRPr="00D57419" w:rsidRDefault="00D630DB" w:rsidP="00A67D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630DB" w:rsidRPr="00D57419" w:rsidRDefault="00D630DB" w:rsidP="00A67D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630DB" w:rsidRPr="00D57419" w:rsidRDefault="00D630DB" w:rsidP="00A67D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4. ročník</w:t>
            </w:r>
          </w:p>
        </w:tc>
      </w:tr>
      <w:tr w:rsidR="00D630DB" w:rsidRPr="00D57419" w:rsidTr="00ED0855">
        <w:trPr>
          <w:trHeight w:val="20"/>
        </w:trPr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671622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Vyučovanie podľa rozpisu</w:t>
            </w:r>
            <w:r w:rsidR="00B43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622" w:rsidRPr="00D57419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092B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92BD6" w:rsidRPr="00D574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D630DB" w:rsidRPr="00D57419" w:rsidTr="00ED0855">
        <w:trPr>
          <w:trHeight w:val="20"/>
        </w:trPr>
        <w:tc>
          <w:tcPr>
            <w:tcW w:w="376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997E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419">
              <w:rPr>
                <w:rFonts w:ascii="Arial" w:hAnsi="Arial" w:cs="Arial"/>
                <w:bCs/>
                <w:sz w:val="20"/>
                <w:szCs w:val="20"/>
              </w:rPr>
              <w:t xml:space="preserve">Časová rezerva (účelové kurzy, opakovanie </w:t>
            </w:r>
            <w:r w:rsidR="006870F4" w:rsidRPr="00D57419">
              <w:rPr>
                <w:rFonts w:ascii="Arial" w:hAnsi="Arial" w:cs="Arial"/>
                <w:bCs/>
                <w:sz w:val="20"/>
                <w:szCs w:val="20"/>
              </w:rPr>
              <w:t xml:space="preserve">a doplnenie </w:t>
            </w:r>
            <w:r w:rsidRPr="00D57419">
              <w:rPr>
                <w:rFonts w:ascii="Arial" w:hAnsi="Arial" w:cs="Arial"/>
                <w:bCs/>
                <w:sz w:val="20"/>
                <w:szCs w:val="20"/>
              </w:rPr>
              <w:t>učiva</w:t>
            </w:r>
            <w:r w:rsidR="00ED08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D0855" w:rsidRPr="00ED0855">
              <w:rPr>
                <w:rFonts w:ascii="Arial" w:hAnsi="Arial" w:cs="Arial"/>
                <w:bCs/>
                <w:sz w:val="20"/>
                <w:szCs w:val="20"/>
              </w:rPr>
              <w:t>výchovno-vzdelávacie akcie a i.</w:t>
            </w:r>
            <w:r w:rsidR="00997E05" w:rsidRPr="00ED085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997E05" w:rsidRPr="00D57419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D5741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997E05" w:rsidRPr="00D5741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71622" w:rsidRPr="00D57419">
              <w:rPr>
                <w:rFonts w:ascii="Arial" w:hAnsi="Arial" w:cs="Arial"/>
                <w:bCs/>
                <w:sz w:val="20"/>
                <w:szCs w:val="20"/>
              </w:rPr>
              <w:t>q),r)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0DB" w:rsidRPr="00D57419" w:rsidRDefault="00ED0855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0DB" w:rsidRPr="00D57419" w:rsidRDefault="00ED0855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0DB" w:rsidRPr="00D57419" w:rsidRDefault="00671622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D0855" w:rsidRPr="00D57419" w:rsidTr="00ED0855">
        <w:trPr>
          <w:trHeight w:val="20"/>
        </w:trPr>
        <w:tc>
          <w:tcPr>
            <w:tcW w:w="3766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D0855" w:rsidRPr="00D0154E" w:rsidRDefault="00ED0855" w:rsidP="00F11CDC">
            <w:pPr>
              <w:rPr>
                <w:rFonts w:ascii="Arial" w:hAnsi="Arial" w:cs="Arial"/>
                <w:sz w:val="20"/>
                <w:szCs w:val="20"/>
              </w:rPr>
            </w:pPr>
            <w:r w:rsidRPr="00D0154E">
              <w:rPr>
                <w:rFonts w:ascii="Arial" w:hAnsi="Arial" w:cs="Arial"/>
                <w:sz w:val="20"/>
                <w:szCs w:val="20"/>
              </w:rPr>
              <w:t>Odborná prax</w:t>
            </w:r>
            <w:r w:rsidR="00F11CDC">
              <w:rPr>
                <w:rFonts w:ascii="Arial" w:hAnsi="Arial" w:cs="Arial"/>
                <w:sz w:val="20"/>
                <w:szCs w:val="20"/>
              </w:rPr>
              <w:t>/</w:t>
            </w:r>
            <w:r w:rsidR="000D69E2" w:rsidRPr="00D01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CDC">
              <w:rPr>
                <w:rFonts w:ascii="Arial" w:hAnsi="Arial" w:cs="Arial"/>
                <w:bCs/>
                <w:sz w:val="20"/>
                <w:szCs w:val="20"/>
              </w:rPr>
              <w:t>účelový</w:t>
            </w:r>
            <w:r w:rsidR="00F11CDC" w:rsidRPr="00D57419">
              <w:rPr>
                <w:rFonts w:ascii="Arial" w:hAnsi="Arial" w:cs="Arial"/>
                <w:bCs/>
                <w:sz w:val="20"/>
                <w:szCs w:val="20"/>
              </w:rPr>
              <w:t xml:space="preserve"> kurz</w:t>
            </w:r>
            <w:r w:rsidR="00F11CDC" w:rsidRPr="00D015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69E2" w:rsidRPr="00D0154E">
              <w:rPr>
                <w:rFonts w:ascii="Arial" w:hAnsi="Arial" w:cs="Arial"/>
                <w:bCs/>
                <w:sz w:val="20"/>
                <w:szCs w:val="20"/>
              </w:rPr>
              <w:t>q)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D0855" w:rsidRDefault="00ED0855" w:rsidP="00FD77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D0855" w:rsidRDefault="00ED0855" w:rsidP="00FD77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D0855" w:rsidRDefault="00ED0855" w:rsidP="00FD77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D0855" w:rsidRDefault="00ED0855" w:rsidP="00FD77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D630DB" w:rsidRPr="00D57419" w:rsidTr="00ED0855">
        <w:trPr>
          <w:trHeight w:val="20"/>
        </w:trPr>
        <w:tc>
          <w:tcPr>
            <w:tcW w:w="37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rPr>
                <w:rFonts w:ascii="Arial" w:hAnsi="Arial" w:cs="Arial"/>
                <w:sz w:val="20"/>
                <w:szCs w:val="20"/>
              </w:rPr>
            </w:pPr>
            <w:r w:rsidRPr="00D57419">
              <w:rPr>
                <w:rFonts w:ascii="Arial" w:hAnsi="Arial" w:cs="Arial"/>
                <w:sz w:val="20"/>
                <w:szCs w:val="20"/>
              </w:rPr>
              <w:t>Maturitná skúška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630DB" w:rsidRPr="00D57419" w:rsidTr="00D50D45">
        <w:tc>
          <w:tcPr>
            <w:tcW w:w="37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630DB" w:rsidRPr="00D57419" w:rsidRDefault="00D630DB" w:rsidP="00495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630DB" w:rsidRPr="00D57419" w:rsidRDefault="00D630DB" w:rsidP="004954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419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</w:tbl>
    <w:p w:rsidR="00B523CA" w:rsidRPr="00B523CA" w:rsidRDefault="00B523CA" w:rsidP="00B523CA">
      <w:pPr>
        <w:pStyle w:val="Default"/>
        <w:spacing w:before="240"/>
        <w:rPr>
          <w:b/>
          <w:bCs/>
          <w:sz w:val="20"/>
          <w:szCs w:val="20"/>
          <w:u w:val="single"/>
        </w:rPr>
      </w:pPr>
      <w:r w:rsidRPr="00B523CA">
        <w:rPr>
          <w:b/>
          <w:bCs/>
          <w:sz w:val="20"/>
          <w:szCs w:val="20"/>
          <w:u w:val="single"/>
        </w:rPr>
        <w:t>Poznámky k učebnému plánu</w:t>
      </w:r>
      <w:r>
        <w:rPr>
          <w:b/>
          <w:bCs/>
          <w:sz w:val="20"/>
          <w:szCs w:val="20"/>
          <w:u w:val="single"/>
        </w:rPr>
        <w:t>:</w:t>
      </w:r>
    </w:p>
    <w:p w:rsidR="00B523CA" w:rsidRPr="00B523CA" w:rsidRDefault="00B523CA" w:rsidP="00B523CA">
      <w:pPr>
        <w:pStyle w:val="Default"/>
        <w:spacing w:before="24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a) Učebný plán vymedzuje proporcie medzi všeobecným a odborným vzdelávaním (teoretickým a praktickým) a ich záväzný minimálny rozsah. Tento plán je východiskom pre spracovanie</w:t>
      </w:r>
      <w:r>
        <w:rPr>
          <w:sz w:val="20"/>
          <w:szCs w:val="20"/>
        </w:rPr>
        <w:t xml:space="preserve">, </w:t>
      </w:r>
      <w:r w:rsidRPr="00B523CA">
        <w:rPr>
          <w:sz w:val="20"/>
          <w:szCs w:val="20"/>
        </w:rPr>
        <w:t xml:space="preserve">vzdelávacích oblastí, ktoré sú  rozpracované do učebných osnov vyučovacích predmetov alebo modulov. Počty vyučovacích hodín pre jednotlivé vzdelávacie oblasti </w:t>
      </w:r>
      <w:r>
        <w:rPr>
          <w:sz w:val="20"/>
          <w:szCs w:val="20"/>
        </w:rPr>
        <w:t>predstavujú nevyhnutné minimum.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b) 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</w:t>
      </w:r>
      <w:r>
        <w:rPr>
          <w:sz w:val="20"/>
          <w:szCs w:val="20"/>
        </w:rPr>
        <w:t>ruhu zdravotného znevýhodnenia.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c) Počet týždenných vyučovacích hodín v školskom  vzdelávacom  programe je  33 hodín, t.</w:t>
      </w:r>
      <w:bookmarkStart w:id="0" w:name="_GoBack"/>
      <w:bookmarkEnd w:id="0"/>
      <w:r w:rsidRPr="00B523CA">
        <w:rPr>
          <w:sz w:val="20"/>
          <w:szCs w:val="20"/>
        </w:rPr>
        <w:t xml:space="preserve">j za celé štúdium 132 hodín. Výučba v študijných odboroch sa realizuje v 1., 2. a 3. ročníku v rozsahu 33 týždňov, v 4.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 v poslednom ročníku na </w:t>
      </w:r>
      <w:r>
        <w:rPr>
          <w:sz w:val="20"/>
          <w:szCs w:val="20"/>
        </w:rPr>
        <w:t>absolvovanie maturitnej skúšky.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 xml:space="preserve">d) Trieda sa môže v prípade vyššieho počtu žiakov deliť na skupiny podľa potrieb odboru a </w:t>
      </w:r>
      <w:r>
        <w:rPr>
          <w:sz w:val="20"/>
          <w:szCs w:val="20"/>
        </w:rPr>
        <w:t>podmienok školy.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lastRenderedPageBreak/>
        <w:t>e) Riaditeľ školy po prerokovaní s pedagogickou radou na návrh predmetových komisií rozhodne, ktoré predmety v rámci teoretického vzdelávania a praktickej prípravy možno s</w:t>
      </w:r>
      <w:r>
        <w:rPr>
          <w:sz w:val="20"/>
          <w:szCs w:val="20"/>
        </w:rPr>
        <w:t>pájať do viachodinových celkov.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f) Výučba slovenského jazyka a literatúry sa v študijných odboroch realizuje s dotáciou minimálne 3 ho</w:t>
      </w:r>
      <w:r>
        <w:rPr>
          <w:sz w:val="20"/>
          <w:szCs w:val="20"/>
        </w:rPr>
        <w:t>diny týždenne v každom ročníku.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g) Ako prvý cudzí jazyk sa vyučuje jeden z jazykov: jazyk anglický, nemecký, ruský, s preferenciou anglického jazyka, vzhľadom na charakter odboru,  ale s prihliadnutím na vzdelávanie na ZŠ. Podľa potreby a podmienok školy aj ďalšie cudzie jazyky. Výučba prvého cudzieho jazyka sa v študijných odboroch realizuje minimálne v rozsahu 3 týždenných vyučovacích hodín v ročníku. Druhý cudzí jazyk sa môže vyučovať ako voliteľný predmet z časovej dotácie disponibilných hodín minimálne v rozsahu 3 týždenných vyučovacích hodín v 1. a 2. ročníku a minimálne v rozsahu 2 týždenných vyučovacích hodín v 3. a 4. ročníku. Tento UP predpokladá len prvý cudzí jazyk.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h) Súčasťou vzdelávacej oblasti „Človek a hodnoty“ sú predmety náboženská výchova v alternatíve s etickou výchovou. Predmety etická výchova/náboženská výchova sa vyučujú podľa záujmu žiakov</w:t>
      </w:r>
      <w:r>
        <w:rPr>
          <w:sz w:val="20"/>
          <w:szCs w:val="20"/>
        </w:rPr>
        <w:t xml:space="preserve"> v skupinách najviac 20 žiakov.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i) Súčasťou vzdelávacej oblasti „Človek a spoločnosť“ je pre</w:t>
      </w:r>
      <w:r>
        <w:rPr>
          <w:sz w:val="20"/>
          <w:szCs w:val="20"/>
        </w:rPr>
        <w:t>dmet dejepis a občianska náuka.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j) Irelevantné pre našu školu.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k) Súčasťou vzdelávacej oblasti „Človek a príroda“ sú predmety fyzika, chémia, ktoré sa vyučujú v súlade s  ich účelom</w:t>
      </w:r>
      <w:r>
        <w:rPr>
          <w:sz w:val="20"/>
          <w:szCs w:val="20"/>
        </w:rPr>
        <w:t xml:space="preserve"> v danom odbore.</w:t>
      </w:r>
    </w:p>
    <w:p w:rsidR="00B523CA" w:rsidRPr="00B523CA" w:rsidRDefault="00B523CA" w:rsidP="00B523CA">
      <w:pPr>
        <w:pStyle w:val="Default"/>
        <w:spacing w:before="24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 xml:space="preserve">l) Súčasťou vzdelávacej oblasti Matematika a práca s informáciami je predmet  matematika s časovou dotáciou 9 vyučovacích hodín, z toho sú 3 disponibilné. Predmet informatika sa nevyučuje, škola má zavedený odborný </w:t>
      </w:r>
      <w:r>
        <w:rPr>
          <w:sz w:val="20"/>
          <w:szCs w:val="20"/>
        </w:rPr>
        <w:t>predmet aplikovaná informatika.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m) Súčasťou vzdelávacej oblasti „Zdravie a pohyb“ je predmet telesná a športová výchova. Predmet telesná a športová výchova možno vyučovať aj v popoludňajších hodinách a spájať do m</w:t>
      </w:r>
      <w:r>
        <w:rPr>
          <w:sz w:val="20"/>
          <w:szCs w:val="20"/>
        </w:rPr>
        <w:t>aximálne dvojhodinových celkov.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n) Hodnotenie a klasifikácia vyučovacích predmetov sa riadi všeobecn</w:t>
      </w:r>
      <w:r>
        <w:rPr>
          <w:sz w:val="20"/>
          <w:szCs w:val="20"/>
        </w:rPr>
        <w:t>e záväznými právnymi predpismi.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o) Praktická príprava sa realizuje podľa všeobecne záväzných právnych predpisov. Pre kvalitnú realizáciu vzdelávania je potrebné vytvárať podmienky pre osvojovanie požadovaných praktických zručností a činností formou praktických cvičení (v laboratóriách, odborných učebniach a pod.) a odbornej praxe. Na praktických cvičeniach a odbornej praxi sa môžu žiaci deliť do skupín, najmä s ohľadom na bezpečnosť a ochranu zdravia pri práci a na hygienické požiadavky podľa všeobecne záväzných právnych predpisov. Počet žiakov na jedného učiteľa sa riadi všeobecn</w:t>
      </w:r>
      <w:r>
        <w:rPr>
          <w:sz w:val="20"/>
          <w:szCs w:val="20"/>
        </w:rPr>
        <w:t>e záväznými právnymi predpismi.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p) Disponibilné hodiny sú prostriedkom na modifikáciu učebného plánu v školskom vzdelávacom programe a súčasne na vnútornú a vonkajšiu diferenciáciu štúdia na strednej škole. Ich použitie v počte 28 hodín , podľa návrhu predmetových komisií a po prerokovaní v pedagogickej rade je uvedené v tabuľke č. 1. Prevod medzi RUP ŠVP a UP ŠkVP. Využité sú na posilnenie hodinovej dotácie základného učiva (povinných predmetov) aj na zaradenie ďalšieho rozširujúceho učiva (voliteľných predmetov) v učebnom pláne. Disponibilné hodiny sú spoločné pre v</w:t>
      </w:r>
      <w:r>
        <w:rPr>
          <w:sz w:val="20"/>
          <w:szCs w:val="20"/>
        </w:rPr>
        <w:t>šeobecné a odborné vzdelávanie.</w:t>
      </w:r>
    </w:p>
    <w:p w:rsidR="00B523CA" w:rsidRPr="00B523CA" w:rsidRDefault="00B523CA" w:rsidP="00B523CA">
      <w:pPr>
        <w:pStyle w:val="Default"/>
        <w:spacing w:before="240" w:after="2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>q) Účelové kurzy sa môžu realizovať v rámci časovej rezervy v školskom roku alebo v rámci praktickej prípravy, ak konkrétny kurz priamo súvisí s obsah</w:t>
      </w:r>
      <w:r>
        <w:rPr>
          <w:sz w:val="20"/>
          <w:szCs w:val="20"/>
        </w:rPr>
        <w:t>om učiva predmetu odborná prax.</w:t>
      </w:r>
    </w:p>
    <w:p w:rsidR="00B523CA" w:rsidRPr="00B523CA" w:rsidRDefault="00B523CA" w:rsidP="00B523CA">
      <w:pPr>
        <w:pStyle w:val="Default"/>
        <w:spacing w:before="240"/>
        <w:jc w:val="both"/>
        <w:rPr>
          <w:sz w:val="20"/>
          <w:szCs w:val="20"/>
        </w:rPr>
      </w:pPr>
      <w:r w:rsidRPr="00B523CA">
        <w:rPr>
          <w:sz w:val="20"/>
          <w:szCs w:val="20"/>
        </w:rPr>
        <w:t xml:space="preserve">r) 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</w:t>
      </w:r>
      <w:r w:rsidRPr="00B523CA">
        <w:rPr>
          <w:sz w:val="20"/>
          <w:szCs w:val="20"/>
        </w:rPr>
        <w:lastRenderedPageBreak/>
        <w:t>športy. Organizuje sa v treťom ročníku štúdia a trvá tri dni po šesť hodín, resp. 5 dní pri realizácii internátnou formou. Účelové cvičenia sú súčasťou prierezovej témy Ochrana života a zdravia. Uskutočňujú sa v 1. a 2. ročníku vo vyučovacom čase v rozsahu 6 hodín v každom polroku školského roka raz. Kurz pohybových aktivít v prírode sa koná v rozsahu piatich vyučovacích dní, najmenej však v rozsahu 15 vyučovacích hodín. Organizuje sa 1. ročníku štúdia (so zameraním na zimné športy) a v 2. ročníku štúdia</w:t>
      </w:r>
      <w:r>
        <w:rPr>
          <w:sz w:val="20"/>
          <w:szCs w:val="20"/>
        </w:rPr>
        <w:t xml:space="preserve"> (so zameraním na letné športy)</w:t>
      </w:r>
    </w:p>
    <w:p w:rsidR="00B523CA" w:rsidRPr="00B523CA" w:rsidRDefault="00B523CA" w:rsidP="00B523CA">
      <w:pPr>
        <w:pStyle w:val="Hlavika"/>
        <w:tabs>
          <w:tab w:val="clear" w:pos="4536"/>
          <w:tab w:val="clear" w:pos="9072"/>
        </w:tabs>
        <w:spacing w:before="24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523CA">
        <w:rPr>
          <w:rFonts w:ascii="Arial" w:hAnsi="Arial" w:cs="Arial"/>
          <w:b/>
          <w:color w:val="000000"/>
          <w:sz w:val="20"/>
          <w:szCs w:val="20"/>
          <w:u w:val="single"/>
        </w:rPr>
        <w:t>Poznámka:</w:t>
      </w:r>
    </w:p>
    <w:p w:rsidR="00B523CA" w:rsidRPr="00B523CA" w:rsidRDefault="00B523CA" w:rsidP="00DA4D8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523CA">
        <w:rPr>
          <w:rFonts w:ascii="Arial" w:hAnsi="Arial" w:cs="Arial"/>
          <w:color w:val="000000"/>
          <w:sz w:val="20"/>
          <w:szCs w:val="20"/>
        </w:rPr>
        <w:t xml:space="preserve">Učebný plán </w:t>
      </w:r>
      <w:r w:rsidR="00075F7B">
        <w:rPr>
          <w:rFonts w:ascii="Arial" w:hAnsi="Arial" w:cs="Arial"/>
          <w:color w:val="000000"/>
          <w:sz w:val="20"/>
          <w:szCs w:val="20"/>
        </w:rPr>
        <w:t xml:space="preserve">je </w:t>
      </w:r>
      <w:r w:rsidRPr="00B523CA">
        <w:rPr>
          <w:rFonts w:ascii="Arial" w:hAnsi="Arial" w:cs="Arial"/>
          <w:color w:val="000000"/>
          <w:sz w:val="20"/>
          <w:szCs w:val="20"/>
        </w:rPr>
        <w:t xml:space="preserve">zostavený na základe aktuálneho ŠVP pre odborné vzdelávanie a prípravu, skupina študijných odborov 25 </w:t>
      </w:r>
      <w:r w:rsidRPr="00B523CA">
        <w:rPr>
          <w:rFonts w:ascii="Arial" w:hAnsi="Arial" w:cs="Arial"/>
          <w:sz w:val="20"/>
          <w:szCs w:val="20"/>
        </w:rPr>
        <w:t>Informačné a komunikačné technológie,</w:t>
      </w:r>
      <w:r w:rsidRPr="00B523CA">
        <w:rPr>
          <w:rFonts w:ascii="Arial" w:hAnsi="Arial" w:cs="Arial"/>
          <w:color w:val="000000"/>
          <w:sz w:val="20"/>
          <w:szCs w:val="20"/>
        </w:rPr>
        <w:t xml:space="preserve"> s platnosťou od 01. 09. 2017 začínajúc 1. ročníkom.</w:t>
      </w:r>
    </w:p>
    <w:p w:rsidR="0074466B" w:rsidRDefault="00B523CA" w:rsidP="00DA4D8F">
      <w:pPr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B523CA">
        <w:rPr>
          <w:rFonts w:ascii="Arial" w:hAnsi="Arial" w:cs="Arial"/>
          <w:color w:val="000000"/>
          <w:sz w:val="20"/>
          <w:szCs w:val="20"/>
        </w:rPr>
        <w:t>Schválilo Ministerstvo školstva, vedy, výskumu a športu Slovenskej  republiky dňa 5. októbra 2016 pod číslom 2016-9967/41446:31-10E0 s účinnosťou od 1. septembra 2017 začínajúc prvým ročníkom.</w:t>
      </w:r>
    </w:p>
    <w:p w:rsidR="002058BF" w:rsidRDefault="002058BF" w:rsidP="00DA4D8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4466B" w:rsidRPr="0074466B" w:rsidRDefault="0074466B" w:rsidP="00DA4D8F">
      <w:pPr>
        <w:jc w:val="both"/>
        <w:rPr>
          <w:rFonts w:ascii="Arial" w:hAnsi="Arial" w:cs="Arial"/>
          <w:sz w:val="20"/>
          <w:szCs w:val="20"/>
        </w:rPr>
      </w:pPr>
      <w:r w:rsidRPr="0074466B">
        <w:rPr>
          <w:rFonts w:ascii="Arial" w:hAnsi="Arial" w:cs="Arial"/>
          <w:color w:val="000000"/>
          <w:sz w:val="20"/>
          <w:szCs w:val="20"/>
        </w:rPr>
        <w:t>So zreteľom na dodatok č.</w:t>
      </w:r>
      <w:r w:rsidR="00FD77CD" w:rsidRPr="0074466B">
        <w:rPr>
          <w:rFonts w:ascii="Arial" w:hAnsi="Arial" w:cs="Arial"/>
          <w:color w:val="000000"/>
          <w:sz w:val="20"/>
          <w:szCs w:val="20"/>
        </w:rPr>
        <w:t>5</w:t>
      </w:r>
      <w:r w:rsidRPr="0074466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4466B">
        <w:rPr>
          <w:rFonts w:ascii="Arial" w:hAnsi="Arial" w:cs="Arial"/>
          <w:sz w:val="20"/>
          <w:szCs w:val="20"/>
        </w:rPr>
        <w:t>ktorým s</w:t>
      </w:r>
      <w:r>
        <w:rPr>
          <w:rFonts w:ascii="Arial" w:hAnsi="Arial" w:cs="Arial"/>
          <w:sz w:val="20"/>
          <w:szCs w:val="20"/>
        </w:rPr>
        <w:t>a mení ŠVP</w:t>
      </w:r>
      <w:r w:rsidRPr="0074466B">
        <w:rPr>
          <w:rFonts w:ascii="Arial" w:hAnsi="Arial" w:cs="Arial"/>
          <w:sz w:val="20"/>
          <w:szCs w:val="20"/>
        </w:rPr>
        <w:t xml:space="preserve"> pre odborné vzdelávanie a prípravu, skupinu študijných odborov 25 INFORMAČNÉ A KOMUNIKAČNÉ TECHNOLÓGIE ,schválený Ministerstvom školstva, vedy, výskumu a športu Slovenskej republiky dňa 5. októbra 2016 pod číslom 2016-9967/41446:31-10E0 s účinnosťou od 1. septembra 2017 začínajúc prvým ročníkom. </w:t>
      </w:r>
    </w:p>
    <w:p w:rsidR="0074466B" w:rsidRDefault="0074466B" w:rsidP="00DA4D8F">
      <w:pPr>
        <w:jc w:val="both"/>
        <w:rPr>
          <w:rFonts w:ascii="Arial" w:hAnsi="Arial" w:cs="Arial"/>
          <w:sz w:val="20"/>
          <w:szCs w:val="20"/>
        </w:rPr>
      </w:pPr>
    </w:p>
    <w:p w:rsidR="0074466B" w:rsidRPr="0074466B" w:rsidRDefault="0074466B" w:rsidP="00DA4D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Dodatok č.5 </w:t>
      </w:r>
      <w:r w:rsidRPr="0074466B">
        <w:rPr>
          <w:rFonts w:ascii="Arial" w:hAnsi="Arial" w:cs="Arial"/>
          <w:sz w:val="20"/>
          <w:szCs w:val="20"/>
        </w:rPr>
        <w:t>schválilo Ministerstvo školstva, vedy, výskumu a športu Slovenskej republiky dňa 13. decembra 2021 pod číslom 2021/9630:39-A2220 s účinnosťou od 1. septembra 2022 začínajúc prvým ročníkom</w:t>
      </w:r>
      <w:r w:rsidR="00075F7B">
        <w:rPr>
          <w:rFonts w:ascii="Arial" w:hAnsi="Arial" w:cs="Arial"/>
          <w:sz w:val="20"/>
          <w:szCs w:val="20"/>
        </w:rPr>
        <w:t>.</w:t>
      </w:r>
    </w:p>
    <w:p w:rsidR="00FD77CD" w:rsidRPr="00B523CA" w:rsidRDefault="00FD77CD" w:rsidP="00DA4D8F">
      <w:pPr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FD77CD" w:rsidRPr="00B523CA" w:rsidSect="00D5741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DA" w:rsidRDefault="00C552DA">
      <w:r>
        <w:separator/>
      </w:r>
    </w:p>
  </w:endnote>
  <w:endnote w:type="continuationSeparator" w:id="0">
    <w:p w:rsidR="00C552DA" w:rsidRDefault="00C5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DA" w:rsidRDefault="00C552DA">
      <w:r>
        <w:separator/>
      </w:r>
    </w:p>
  </w:footnote>
  <w:footnote w:type="continuationSeparator" w:id="0">
    <w:p w:rsidR="00C552DA" w:rsidRDefault="00C5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39"/>
      </v:shape>
    </w:pict>
  </w:numPicBullet>
  <w:abstractNum w:abstractNumId="0">
    <w:nsid w:val="20D77F87"/>
    <w:multiLevelType w:val="hybridMultilevel"/>
    <w:tmpl w:val="ED103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2EF7"/>
    <w:multiLevelType w:val="hybridMultilevel"/>
    <w:tmpl w:val="5FE8CCD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536C4"/>
    <w:multiLevelType w:val="hybridMultilevel"/>
    <w:tmpl w:val="A80ECB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4D51"/>
    <w:multiLevelType w:val="hybridMultilevel"/>
    <w:tmpl w:val="7CB6E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C0433"/>
    <w:multiLevelType w:val="hybridMultilevel"/>
    <w:tmpl w:val="5BA2B5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B4F28"/>
    <w:multiLevelType w:val="hybridMultilevel"/>
    <w:tmpl w:val="E22AEB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458D2"/>
    <w:multiLevelType w:val="hybridMultilevel"/>
    <w:tmpl w:val="5F1E6D3C"/>
    <w:lvl w:ilvl="0" w:tplc="F0D4ACD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3715B"/>
    <w:multiLevelType w:val="hybridMultilevel"/>
    <w:tmpl w:val="62ACD6E8"/>
    <w:lvl w:ilvl="0" w:tplc="81D096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C32"/>
    <w:rsid w:val="00003FE7"/>
    <w:rsid w:val="00004C13"/>
    <w:rsid w:val="0001248A"/>
    <w:rsid w:val="00034945"/>
    <w:rsid w:val="00043D4A"/>
    <w:rsid w:val="000522B8"/>
    <w:rsid w:val="00054897"/>
    <w:rsid w:val="000574D4"/>
    <w:rsid w:val="00062267"/>
    <w:rsid w:val="00063041"/>
    <w:rsid w:val="00075F7B"/>
    <w:rsid w:val="000800F7"/>
    <w:rsid w:val="00092BD6"/>
    <w:rsid w:val="00095AE8"/>
    <w:rsid w:val="000A0848"/>
    <w:rsid w:val="000B3EF9"/>
    <w:rsid w:val="000C1684"/>
    <w:rsid w:val="000C1D96"/>
    <w:rsid w:val="000C1F00"/>
    <w:rsid w:val="000D69E2"/>
    <w:rsid w:val="000D6A5E"/>
    <w:rsid w:val="000E0016"/>
    <w:rsid w:val="000E0625"/>
    <w:rsid w:val="000E129C"/>
    <w:rsid w:val="000E5C32"/>
    <w:rsid w:val="000F560C"/>
    <w:rsid w:val="001037B0"/>
    <w:rsid w:val="00110F2D"/>
    <w:rsid w:val="001271FE"/>
    <w:rsid w:val="00130515"/>
    <w:rsid w:val="00133AFD"/>
    <w:rsid w:val="00153533"/>
    <w:rsid w:val="001549FF"/>
    <w:rsid w:val="00157460"/>
    <w:rsid w:val="00176465"/>
    <w:rsid w:val="00177210"/>
    <w:rsid w:val="00187C00"/>
    <w:rsid w:val="0019470A"/>
    <w:rsid w:val="001A788E"/>
    <w:rsid w:val="001B1009"/>
    <w:rsid w:val="001D44A7"/>
    <w:rsid w:val="001D6955"/>
    <w:rsid w:val="001E3934"/>
    <w:rsid w:val="001F7D1B"/>
    <w:rsid w:val="00201617"/>
    <w:rsid w:val="002058BF"/>
    <w:rsid w:val="0020644B"/>
    <w:rsid w:val="0020791B"/>
    <w:rsid w:val="0021022F"/>
    <w:rsid w:val="00210AFA"/>
    <w:rsid w:val="00211D02"/>
    <w:rsid w:val="0021247D"/>
    <w:rsid w:val="002142F4"/>
    <w:rsid w:val="00231919"/>
    <w:rsid w:val="002520FE"/>
    <w:rsid w:val="00252FE4"/>
    <w:rsid w:val="0025530C"/>
    <w:rsid w:val="00255C1E"/>
    <w:rsid w:val="00260599"/>
    <w:rsid w:val="00260B2A"/>
    <w:rsid w:val="00260C0B"/>
    <w:rsid w:val="002644B8"/>
    <w:rsid w:val="002741CB"/>
    <w:rsid w:val="00290821"/>
    <w:rsid w:val="00296434"/>
    <w:rsid w:val="002B4DBF"/>
    <w:rsid w:val="002B53F2"/>
    <w:rsid w:val="002C1867"/>
    <w:rsid w:val="002D028E"/>
    <w:rsid w:val="002D15BF"/>
    <w:rsid w:val="002D6730"/>
    <w:rsid w:val="002E76E0"/>
    <w:rsid w:val="002F0E0B"/>
    <w:rsid w:val="002F2211"/>
    <w:rsid w:val="002F284A"/>
    <w:rsid w:val="002F2DB0"/>
    <w:rsid w:val="002F37F8"/>
    <w:rsid w:val="00315E6F"/>
    <w:rsid w:val="0031634C"/>
    <w:rsid w:val="00321106"/>
    <w:rsid w:val="00321997"/>
    <w:rsid w:val="00323A31"/>
    <w:rsid w:val="00332AC3"/>
    <w:rsid w:val="003344E0"/>
    <w:rsid w:val="003449A9"/>
    <w:rsid w:val="00345980"/>
    <w:rsid w:val="00346C7B"/>
    <w:rsid w:val="00353F0D"/>
    <w:rsid w:val="0036087E"/>
    <w:rsid w:val="00364362"/>
    <w:rsid w:val="00366344"/>
    <w:rsid w:val="003738E8"/>
    <w:rsid w:val="00374B61"/>
    <w:rsid w:val="00382433"/>
    <w:rsid w:val="00385028"/>
    <w:rsid w:val="00386DC7"/>
    <w:rsid w:val="003870BA"/>
    <w:rsid w:val="003A4267"/>
    <w:rsid w:val="003A48A5"/>
    <w:rsid w:val="003B3A7A"/>
    <w:rsid w:val="003B66B6"/>
    <w:rsid w:val="003C0900"/>
    <w:rsid w:val="003D4A61"/>
    <w:rsid w:val="003E13E0"/>
    <w:rsid w:val="003E6B12"/>
    <w:rsid w:val="003F0E4C"/>
    <w:rsid w:val="0040614B"/>
    <w:rsid w:val="0042598B"/>
    <w:rsid w:val="00434415"/>
    <w:rsid w:val="00441B2D"/>
    <w:rsid w:val="004501AA"/>
    <w:rsid w:val="0047340E"/>
    <w:rsid w:val="00490229"/>
    <w:rsid w:val="004952CB"/>
    <w:rsid w:val="004954ED"/>
    <w:rsid w:val="00496877"/>
    <w:rsid w:val="004973A5"/>
    <w:rsid w:val="004A5D46"/>
    <w:rsid w:val="004C36EA"/>
    <w:rsid w:val="004C684E"/>
    <w:rsid w:val="004D3A5A"/>
    <w:rsid w:val="004D3F41"/>
    <w:rsid w:val="004E2A57"/>
    <w:rsid w:val="004F3F96"/>
    <w:rsid w:val="005003B9"/>
    <w:rsid w:val="005107C6"/>
    <w:rsid w:val="00523636"/>
    <w:rsid w:val="00523AC1"/>
    <w:rsid w:val="0054490C"/>
    <w:rsid w:val="00546B44"/>
    <w:rsid w:val="0055473F"/>
    <w:rsid w:val="005611D9"/>
    <w:rsid w:val="00564E27"/>
    <w:rsid w:val="005768F9"/>
    <w:rsid w:val="005803C9"/>
    <w:rsid w:val="00580A6A"/>
    <w:rsid w:val="0058265B"/>
    <w:rsid w:val="00584AF0"/>
    <w:rsid w:val="00584F22"/>
    <w:rsid w:val="005A0223"/>
    <w:rsid w:val="005B1DAB"/>
    <w:rsid w:val="005C230D"/>
    <w:rsid w:val="005C7964"/>
    <w:rsid w:val="005D18C6"/>
    <w:rsid w:val="005D3510"/>
    <w:rsid w:val="005D46E8"/>
    <w:rsid w:val="005D585F"/>
    <w:rsid w:val="005D6C28"/>
    <w:rsid w:val="005D7E48"/>
    <w:rsid w:val="005E57A7"/>
    <w:rsid w:val="005F55F4"/>
    <w:rsid w:val="00600A8C"/>
    <w:rsid w:val="00600C94"/>
    <w:rsid w:val="0060121A"/>
    <w:rsid w:val="0060206B"/>
    <w:rsid w:val="00602107"/>
    <w:rsid w:val="006045C9"/>
    <w:rsid w:val="006077A9"/>
    <w:rsid w:val="0061338E"/>
    <w:rsid w:val="00613ED0"/>
    <w:rsid w:val="00615F0C"/>
    <w:rsid w:val="00615FC2"/>
    <w:rsid w:val="00625584"/>
    <w:rsid w:val="006271CC"/>
    <w:rsid w:val="0063472A"/>
    <w:rsid w:val="00635544"/>
    <w:rsid w:val="00642BDC"/>
    <w:rsid w:val="00647D3D"/>
    <w:rsid w:val="00653071"/>
    <w:rsid w:val="00654967"/>
    <w:rsid w:val="00664BD4"/>
    <w:rsid w:val="00666310"/>
    <w:rsid w:val="00671420"/>
    <w:rsid w:val="00671622"/>
    <w:rsid w:val="006720DB"/>
    <w:rsid w:val="00674D20"/>
    <w:rsid w:val="00675100"/>
    <w:rsid w:val="00682400"/>
    <w:rsid w:val="00682BC2"/>
    <w:rsid w:val="006840FB"/>
    <w:rsid w:val="006845D2"/>
    <w:rsid w:val="00685D35"/>
    <w:rsid w:val="006870F4"/>
    <w:rsid w:val="00691C63"/>
    <w:rsid w:val="0069483F"/>
    <w:rsid w:val="006A2F99"/>
    <w:rsid w:val="006B395C"/>
    <w:rsid w:val="006C4D05"/>
    <w:rsid w:val="006D1330"/>
    <w:rsid w:val="006D52C2"/>
    <w:rsid w:val="006E0AF1"/>
    <w:rsid w:val="006E5BBA"/>
    <w:rsid w:val="0070096F"/>
    <w:rsid w:val="00701A63"/>
    <w:rsid w:val="00716A5E"/>
    <w:rsid w:val="00734A4D"/>
    <w:rsid w:val="00735798"/>
    <w:rsid w:val="00735811"/>
    <w:rsid w:val="00736673"/>
    <w:rsid w:val="0074466B"/>
    <w:rsid w:val="00746A0E"/>
    <w:rsid w:val="007502BD"/>
    <w:rsid w:val="00761423"/>
    <w:rsid w:val="00761482"/>
    <w:rsid w:val="00763273"/>
    <w:rsid w:val="0076557F"/>
    <w:rsid w:val="00765E10"/>
    <w:rsid w:val="0077327E"/>
    <w:rsid w:val="007737EE"/>
    <w:rsid w:val="00790C23"/>
    <w:rsid w:val="007931A4"/>
    <w:rsid w:val="00795D91"/>
    <w:rsid w:val="007977FF"/>
    <w:rsid w:val="007A396D"/>
    <w:rsid w:val="007A737B"/>
    <w:rsid w:val="007C1CA4"/>
    <w:rsid w:val="007C1EEC"/>
    <w:rsid w:val="007D083B"/>
    <w:rsid w:val="007D0B9F"/>
    <w:rsid w:val="007E2990"/>
    <w:rsid w:val="008111A3"/>
    <w:rsid w:val="008131AF"/>
    <w:rsid w:val="00813D95"/>
    <w:rsid w:val="00817CB7"/>
    <w:rsid w:val="00817DE6"/>
    <w:rsid w:val="0082585D"/>
    <w:rsid w:val="00827885"/>
    <w:rsid w:val="0083027B"/>
    <w:rsid w:val="00837C49"/>
    <w:rsid w:val="00843B68"/>
    <w:rsid w:val="00862687"/>
    <w:rsid w:val="00871794"/>
    <w:rsid w:val="008737C7"/>
    <w:rsid w:val="008752DB"/>
    <w:rsid w:val="00875F57"/>
    <w:rsid w:val="00880003"/>
    <w:rsid w:val="00887C3C"/>
    <w:rsid w:val="0089140A"/>
    <w:rsid w:val="008A30F3"/>
    <w:rsid w:val="008A5A8C"/>
    <w:rsid w:val="008A5BC5"/>
    <w:rsid w:val="008C1792"/>
    <w:rsid w:val="008C651E"/>
    <w:rsid w:val="008C7FAD"/>
    <w:rsid w:val="008D49BF"/>
    <w:rsid w:val="008D6954"/>
    <w:rsid w:val="008E753D"/>
    <w:rsid w:val="00900EAD"/>
    <w:rsid w:val="00901B0F"/>
    <w:rsid w:val="00902EE6"/>
    <w:rsid w:val="00904A4A"/>
    <w:rsid w:val="00910887"/>
    <w:rsid w:val="00916A5C"/>
    <w:rsid w:val="009205C4"/>
    <w:rsid w:val="0092493E"/>
    <w:rsid w:val="00930997"/>
    <w:rsid w:val="00937335"/>
    <w:rsid w:val="009374F2"/>
    <w:rsid w:val="00945D25"/>
    <w:rsid w:val="00950D91"/>
    <w:rsid w:val="00952D99"/>
    <w:rsid w:val="00955E93"/>
    <w:rsid w:val="00963D68"/>
    <w:rsid w:val="00964C87"/>
    <w:rsid w:val="00964D5C"/>
    <w:rsid w:val="0096548B"/>
    <w:rsid w:val="00967AA1"/>
    <w:rsid w:val="00975F66"/>
    <w:rsid w:val="00981BD4"/>
    <w:rsid w:val="009829B1"/>
    <w:rsid w:val="009916DB"/>
    <w:rsid w:val="009917E4"/>
    <w:rsid w:val="00993288"/>
    <w:rsid w:val="00997E05"/>
    <w:rsid w:val="009B04D1"/>
    <w:rsid w:val="009C02D6"/>
    <w:rsid w:val="009C0614"/>
    <w:rsid w:val="009C5C9C"/>
    <w:rsid w:val="009C7C2E"/>
    <w:rsid w:val="009C7E3C"/>
    <w:rsid w:val="009E0A91"/>
    <w:rsid w:val="009E330D"/>
    <w:rsid w:val="00A016FB"/>
    <w:rsid w:val="00A02140"/>
    <w:rsid w:val="00A02257"/>
    <w:rsid w:val="00A038A0"/>
    <w:rsid w:val="00A23439"/>
    <w:rsid w:val="00A270C9"/>
    <w:rsid w:val="00A33B99"/>
    <w:rsid w:val="00A471AB"/>
    <w:rsid w:val="00A67DB3"/>
    <w:rsid w:val="00A70408"/>
    <w:rsid w:val="00A83D81"/>
    <w:rsid w:val="00A91222"/>
    <w:rsid w:val="00A93C0B"/>
    <w:rsid w:val="00A97DC8"/>
    <w:rsid w:val="00AA204F"/>
    <w:rsid w:val="00AA239F"/>
    <w:rsid w:val="00AA2CB4"/>
    <w:rsid w:val="00AB27E8"/>
    <w:rsid w:val="00AB2813"/>
    <w:rsid w:val="00AC1F05"/>
    <w:rsid w:val="00AC5930"/>
    <w:rsid w:val="00AD1219"/>
    <w:rsid w:val="00AE349E"/>
    <w:rsid w:val="00AE3B4D"/>
    <w:rsid w:val="00AE41C1"/>
    <w:rsid w:val="00AE6C67"/>
    <w:rsid w:val="00AF597A"/>
    <w:rsid w:val="00AF5D94"/>
    <w:rsid w:val="00AF7A21"/>
    <w:rsid w:val="00B04421"/>
    <w:rsid w:val="00B0586F"/>
    <w:rsid w:val="00B070AD"/>
    <w:rsid w:val="00B076BA"/>
    <w:rsid w:val="00B15A4E"/>
    <w:rsid w:val="00B15B3E"/>
    <w:rsid w:val="00B15D38"/>
    <w:rsid w:val="00B243BB"/>
    <w:rsid w:val="00B24AD7"/>
    <w:rsid w:val="00B3479D"/>
    <w:rsid w:val="00B36EBA"/>
    <w:rsid w:val="00B375E7"/>
    <w:rsid w:val="00B421B0"/>
    <w:rsid w:val="00B430C5"/>
    <w:rsid w:val="00B44949"/>
    <w:rsid w:val="00B4633A"/>
    <w:rsid w:val="00B47905"/>
    <w:rsid w:val="00B50CFB"/>
    <w:rsid w:val="00B51530"/>
    <w:rsid w:val="00B523CA"/>
    <w:rsid w:val="00B5292E"/>
    <w:rsid w:val="00B52B0A"/>
    <w:rsid w:val="00B60B9A"/>
    <w:rsid w:val="00B67639"/>
    <w:rsid w:val="00B74BED"/>
    <w:rsid w:val="00B77954"/>
    <w:rsid w:val="00B81416"/>
    <w:rsid w:val="00B8224A"/>
    <w:rsid w:val="00B83841"/>
    <w:rsid w:val="00B925C4"/>
    <w:rsid w:val="00B92D16"/>
    <w:rsid w:val="00B94B32"/>
    <w:rsid w:val="00B9649B"/>
    <w:rsid w:val="00B96611"/>
    <w:rsid w:val="00B97A8D"/>
    <w:rsid w:val="00BA301F"/>
    <w:rsid w:val="00BA508A"/>
    <w:rsid w:val="00BB527B"/>
    <w:rsid w:val="00BD1222"/>
    <w:rsid w:val="00BD27B6"/>
    <w:rsid w:val="00BD552B"/>
    <w:rsid w:val="00BE29A8"/>
    <w:rsid w:val="00BF148E"/>
    <w:rsid w:val="00BF7E85"/>
    <w:rsid w:val="00C016FD"/>
    <w:rsid w:val="00C02853"/>
    <w:rsid w:val="00C06AAD"/>
    <w:rsid w:val="00C170F3"/>
    <w:rsid w:val="00C203DC"/>
    <w:rsid w:val="00C22024"/>
    <w:rsid w:val="00C33DB9"/>
    <w:rsid w:val="00C552DA"/>
    <w:rsid w:val="00C623E3"/>
    <w:rsid w:val="00C66FB8"/>
    <w:rsid w:val="00C705AD"/>
    <w:rsid w:val="00C80301"/>
    <w:rsid w:val="00C9193C"/>
    <w:rsid w:val="00C923F2"/>
    <w:rsid w:val="00CB0FC8"/>
    <w:rsid w:val="00CB2B8B"/>
    <w:rsid w:val="00CB400B"/>
    <w:rsid w:val="00CB725C"/>
    <w:rsid w:val="00CE1915"/>
    <w:rsid w:val="00CE2B4C"/>
    <w:rsid w:val="00D0154E"/>
    <w:rsid w:val="00D05E48"/>
    <w:rsid w:val="00D12F34"/>
    <w:rsid w:val="00D13850"/>
    <w:rsid w:val="00D16918"/>
    <w:rsid w:val="00D233D8"/>
    <w:rsid w:val="00D317B9"/>
    <w:rsid w:val="00D42063"/>
    <w:rsid w:val="00D425B3"/>
    <w:rsid w:val="00D426A9"/>
    <w:rsid w:val="00D47BB0"/>
    <w:rsid w:val="00D50D45"/>
    <w:rsid w:val="00D51C1E"/>
    <w:rsid w:val="00D57419"/>
    <w:rsid w:val="00D57A9D"/>
    <w:rsid w:val="00D630DB"/>
    <w:rsid w:val="00D632F9"/>
    <w:rsid w:val="00D654A7"/>
    <w:rsid w:val="00D665D5"/>
    <w:rsid w:val="00D71BFE"/>
    <w:rsid w:val="00D74009"/>
    <w:rsid w:val="00D7435B"/>
    <w:rsid w:val="00D81F40"/>
    <w:rsid w:val="00D8589B"/>
    <w:rsid w:val="00D9031C"/>
    <w:rsid w:val="00D970BA"/>
    <w:rsid w:val="00DA4D8F"/>
    <w:rsid w:val="00DB1CC5"/>
    <w:rsid w:val="00DB2D5F"/>
    <w:rsid w:val="00DD1608"/>
    <w:rsid w:val="00DD531C"/>
    <w:rsid w:val="00DD79E7"/>
    <w:rsid w:val="00DF08E5"/>
    <w:rsid w:val="00E009DE"/>
    <w:rsid w:val="00E00A5A"/>
    <w:rsid w:val="00E03B28"/>
    <w:rsid w:val="00E07FDD"/>
    <w:rsid w:val="00E11E0F"/>
    <w:rsid w:val="00E13652"/>
    <w:rsid w:val="00E24405"/>
    <w:rsid w:val="00E26EA3"/>
    <w:rsid w:val="00E32006"/>
    <w:rsid w:val="00E32F5A"/>
    <w:rsid w:val="00E33800"/>
    <w:rsid w:val="00E37F4E"/>
    <w:rsid w:val="00E4050D"/>
    <w:rsid w:val="00E434F5"/>
    <w:rsid w:val="00E43D55"/>
    <w:rsid w:val="00E43E8D"/>
    <w:rsid w:val="00E474C7"/>
    <w:rsid w:val="00E506AB"/>
    <w:rsid w:val="00E50B6B"/>
    <w:rsid w:val="00E51F95"/>
    <w:rsid w:val="00E52272"/>
    <w:rsid w:val="00E550D8"/>
    <w:rsid w:val="00E65D63"/>
    <w:rsid w:val="00E661E5"/>
    <w:rsid w:val="00E668C1"/>
    <w:rsid w:val="00E73AD4"/>
    <w:rsid w:val="00E80847"/>
    <w:rsid w:val="00E83440"/>
    <w:rsid w:val="00E84368"/>
    <w:rsid w:val="00E86991"/>
    <w:rsid w:val="00E957CD"/>
    <w:rsid w:val="00EB2691"/>
    <w:rsid w:val="00EB393D"/>
    <w:rsid w:val="00EC42F9"/>
    <w:rsid w:val="00EC464D"/>
    <w:rsid w:val="00ED0855"/>
    <w:rsid w:val="00ED0E8F"/>
    <w:rsid w:val="00ED14BE"/>
    <w:rsid w:val="00ED27E2"/>
    <w:rsid w:val="00ED54E2"/>
    <w:rsid w:val="00ED692B"/>
    <w:rsid w:val="00ED738E"/>
    <w:rsid w:val="00EE00E0"/>
    <w:rsid w:val="00EF0DC8"/>
    <w:rsid w:val="00EF2FAC"/>
    <w:rsid w:val="00EF4674"/>
    <w:rsid w:val="00F0402D"/>
    <w:rsid w:val="00F063C9"/>
    <w:rsid w:val="00F112B0"/>
    <w:rsid w:val="00F11CDC"/>
    <w:rsid w:val="00F13632"/>
    <w:rsid w:val="00F16EE6"/>
    <w:rsid w:val="00F27600"/>
    <w:rsid w:val="00F3054E"/>
    <w:rsid w:val="00F306B7"/>
    <w:rsid w:val="00F33544"/>
    <w:rsid w:val="00F34D6B"/>
    <w:rsid w:val="00F3732B"/>
    <w:rsid w:val="00F37A8D"/>
    <w:rsid w:val="00F43787"/>
    <w:rsid w:val="00F47077"/>
    <w:rsid w:val="00F500D0"/>
    <w:rsid w:val="00F5106F"/>
    <w:rsid w:val="00F53D2B"/>
    <w:rsid w:val="00F54A2A"/>
    <w:rsid w:val="00F56030"/>
    <w:rsid w:val="00F76D52"/>
    <w:rsid w:val="00F833C0"/>
    <w:rsid w:val="00F94154"/>
    <w:rsid w:val="00FB1168"/>
    <w:rsid w:val="00FB3C09"/>
    <w:rsid w:val="00FB47A3"/>
    <w:rsid w:val="00FC0E85"/>
    <w:rsid w:val="00FC27FA"/>
    <w:rsid w:val="00FD607C"/>
    <w:rsid w:val="00FD77CD"/>
    <w:rsid w:val="00FF3724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5E93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D57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630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F2FA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F2FAC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semiHidden/>
    <w:locked/>
    <w:rsid w:val="00D57A9D"/>
    <w:rPr>
      <w:rFonts w:ascii="Arial" w:hAnsi="Arial" w:cs="Arial"/>
      <w:b/>
      <w:bCs/>
      <w:sz w:val="26"/>
      <w:szCs w:val="26"/>
      <w:lang w:val="sk-SK" w:eastAsia="sk-SK" w:bidi="ar-SA"/>
    </w:rPr>
  </w:style>
  <w:style w:type="character" w:customStyle="1" w:styleId="Nadpis5Char">
    <w:name w:val="Nadpis 5 Char"/>
    <w:link w:val="Nadpis5"/>
    <w:semiHidden/>
    <w:rsid w:val="00D630D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2">
    <w:name w:val="Body Text 2"/>
    <w:basedOn w:val="Normlny"/>
    <w:link w:val="Zkladntext2Char"/>
    <w:rsid w:val="00D630DB"/>
    <w:pPr>
      <w:tabs>
        <w:tab w:val="num" w:pos="900"/>
      </w:tabs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ý text 2 Char"/>
    <w:link w:val="Zkladntext2"/>
    <w:rsid w:val="00D630DB"/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D630DB"/>
    <w:pPr>
      <w:tabs>
        <w:tab w:val="num" w:pos="561"/>
        <w:tab w:val="num" w:pos="900"/>
      </w:tabs>
      <w:ind w:left="360" w:hanging="360"/>
      <w:jc w:val="both"/>
    </w:pPr>
    <w:rPr>
      <w:rFonts w:ascii="Arial" w:hAnsi="Arial"/>
      <w:snapToGrid w:val="0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D630DB"/>
    <w:rPr>
      <w:rFonts w:ascii="Arial" w:hAnsi="Arial" w:cs="Arial"/>
      <w:snapToGrid w:val="0"/>
    </w:rPr>
  </w:style>
  <w:style w:type="paragraph" w:customStyle="1" w:styleId="Default">
    <w:name w:val="Default"/>
    <w:rsid w:val="00A97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B24AD7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57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A940-69FC-4C0A-AA44-0322BEF1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2142</Words>
  <Characters>12215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s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spravca</dc:creator>
  <cp:lastModifiedBy>Evelin</cp:lastModifiedBy>
  <cp:revision>2</cp:revision>
  <cp:lastPrinted>2020-12-15T11:16:00Z</cp:lastPrinted>
  <dcterms:created xsi:type="dcterms:W3CDTF">2022-10-25T20:37:00Z</dcterms:created>
  <dcterms:modified xsi:type="dcterms:W3CDTF">2022-10-25T20:37:00Z</dcterms:modified>
</cp:coreProperties>
</file>