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937"/>
        <w:gridCol w:w="1937"/>
        <w:gridCol w:w="1938"/>
      </w:tblGrid>
      <w:tr w:rsidR="00A43249" w:rsidRPr="00124A79" w:rsidTr="00077507">
        <w:trPr>
          <w:trHeight w:val="28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Názov predmetu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43249" w:rsidRPr="00CF147B" w:rsidRDefault="00335C94" w:rsidP="00CF147B">
            <w:pPr>
              <w:pStyle w:val="Nadpis4"/>
              <w:tabs>
                <w:tab w:val="center" w:pos="2962"/>
              </w:tabs>
              <w:spacing w:before="120" w:line="276" w:lineRule="auto"/>
              <w:ind w:left="132"/>
              <w:jc w:val="center"/>
            </w:pPr>
            <w:r w:rsidRPr="00CF147B">
              <w:t>Náboženská</w:t>
            </w:r>
            <w:r w:rsidR="00650ADF" w:rsidRPr="00CF147B">
              <w:t xml:space="preserve"> výchova</w:t>
            </w:r>
          </w:p>
        </w:tc>
      </w:tr>
      <w:tr w:rsidR="00A43249" w:rsidRPr="00124A79" w:rsidTr="00077507">
        <w:trPr>
          <w:trHeight w:val="283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Časový rozsah výučby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ročník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týždenne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ročne</w:t>
            </w:r>
          </w:p>
        </w:tc>
      </w:tr>
      <w:tr w:rsidR="00A43249" w:rsidRPr="00124A79" w:rsidTr="00077507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prvý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650ADF" w:rsidRDefault="00650ADF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0ADF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249" w:rsidRPr="00650ADF" w:rsidRDefault="00650ADF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0ADF"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</w:tr>
      <w:tr w:rsidR="00A43249" w:rsidRPr="00124A79" w:rsidTr="00077507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druhý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249" w:rsidRPr="00650ADF" w:rsidRDefault="00650ADF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0ADF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3249" w:rsidRPr="00650ADF" w:rsidRDefault="00650ADF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0ADF"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</w:tr>
    </w:tbl>
    <w:p w:rsidR="0047613D" w:rsidRPr="00124A79" w:rsidRDefault="0047613D" w:rsidP="006B221E">
      <w:pPr>
        <w:spacing w:before="120" w:after="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24A79">
        <w:rPr>
          <w:rFonts w:ascii="Arial" w:hAnsi="Arial" w:cs="Arial"/>
          <w:b/>
          <w:sz w:val="22"/>
          <w:szCs w:val="22"/>
          <w:u w:val="single"/>
        </w:rPr>
        <w:t>Charakteristika predmetu</w:t>
      </w:r>
    </w:p>
    <w:p w:rsidR="00505787" w:rsidRPr="005A09AE" w:rsidRDefault="00505787" w:rsidP="00077507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5A09AE">
        <w:rPr>
          <w:rFonts w:ascii="Arial" w:hAnsi="Arial" w:cs="Arial"/>
          <w:szCs w:val="22"/>
          <w:highlight w:val="white"/>
          <w:shd w:val="clear" w:color="auto" w:fill="FFFF00"/>
        </w:rPr>
        <w:t>Obsah výučby vychádza zo vzdelávacej oblasti „Človek</w:t>
      </w:r>
      <w:r w:rsidR="00077507">
        <w:rPr>
          <w:rFonts w:ascii="Arial" w:hAnsi="Arial" w:cs="Arial"/>
          <w:szCs w:val="22"/>
          <w:highlight w:val="white"/>
          <w:shd w:val="clear" w:color="auto" w:fill="FFFF00"/>
        </w:rPr>
        <w:t>,</w:t>
      </w:r>
      <w:r w:rsidRPr="005A09AE">
        <w:rPr>
          <w:rFonts w:ascii="Arial" w:hAnsi="Arial" w:cs="Arial"/>
          <w:szCs w:val="22"/>
          <w:highlight w:val="white"/>
          <w:shd w:val="clear" w:color="auto" w:fill="FFFF00"/>
        </w:rPr>
        <w:t xml:space="preserve"> hodnoty a spoločnosť“ ŠVP. Predmet náboženská výchova svojím obsahom nadväzuje na učivo základnej školy, rozvíja, rozširuje a prehlbuje ho. Jeho obsah je štruktúrovaný do tematických celkov.</w:t>
      </w:r>
      <w:r w:rsidR="00077507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</w:p>
    <w:p w:rsidR="004C1E68" w:rsidRPr="00077507" w:rsidRDefault="00E20665" w:rsidP="00077507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>
        <w:rPr>
          <w:rFonts w:ascii="Arial" w:hAnsi="Arial" w:cs="Arial"/>
          <w:szCs w:val="22"/>
          <w:highlight w:val="white"/>
          <w:shd w:val="clear" w:color="auto" w:fill="FFFF00"/>
        </w:rPr>
        <w:t>Vz</w:t>
      </w:r>
      <w:r w:rsidR="00505787" w:rsidRPr="005A09AE">
        <w:rPr>
          <w:rFonts w:ascii="Arial" w:hAnsi="Arial" w:cs="Arial"/>
          <w:szCs w:val="22"/>
          <w:highlight w:val="white"/>
          <w:shd w:val="clear" w:color="auto" w:fill="FFFF00"/>
        </w:rPr>
        <w:t>ťah medzi školským vyučovaním náboženstva a katechézou je vzťahom odlišnosti a dopĺňania sa.</w:t>
      </w:r>
      <w:r w:rsidR="00077507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505787" w:rsidRPr="005A09AE">
        <w:rPr>
          <w:rFonts w:ascii="Arial" w:hAnsi="Arial" w:cs="Arial"/>
          <w:szCs w:val="22"/>
          <w:highlight w:val="white"/>
          <w:shd w:val="clear" w:color="auto" w:fill="FFFF00"/>
        </w:rPr>
        <w:t>Osobitnou charakteristikou školského vyučovania náboženstva je skutočnosť, že má prenikať do prostredia kultúry a vstúpiť do vzťahu s ostatným poznaním. Ako originálna forma služby slova má totiž školské vyučovanie náboženstva sprítomňovať evanjelium v osobnom procese systematickej a kritickej asimilácie kultúry.</w:t>
      </w:r>
      <w:r w:rsidR="00077507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="00505787" w:rsidRPr="005A09AE">
        <w:rPr>
          <w:rFonts w:ascii="Arial" w:hAnsi="Arial" w:cs="Arial"/>
          <w:szCs w:val="22"/>
          <w:highlight w:val="white"/>
          <w:shd w:val="clear" w:color="auto" w:fill="FFFF00"/>
        </w:rPr>
        <w:t>Školské vyučovanie náboženstva má napomôcť k formácii typu kresťana, ktorý si je naozaj vedomý svojej viery a má s ňou zladený svoj život. S tým je spojená nová životná skúsenosť s Bohom ako milosrdným Otcom, hlbšie objavenie Ježiša Krista nielen v jeho božstve, ale aj v jeho pravom človečenstve, pocit spoluzodpovednosti všetkých za poslanie Cirkvi vo svete, uvedomenie si sociálnych požiadaviek viery.</w:t>
      </w:r>
    </w:p>
    <w:p w:rsidR="0047613D" w:rsidRPr="00124A79" w:rsidRDefault="0047613D" w:rsidP="006B221E">
      <w:pPr>
        <w:spacing w:before="120" w:after="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4A79">
        <w:rPr>
          <w:rFonts w:ascii="Arial" w:hAnsi="Arial" w:cs="Arial"/>
          <w:b/>
          <w:sz w:val="22"/>
          <w:szCs w:val="22"/>
          <w:u w:val="single"/>
        </w:rPr>
        <w:t>Ciele vyučovacieho predmetu</w:t>
      </w:r>
    </w:p>
    <w:p w:rsidR="00DD094A" w:rsidRPr="00366FB5" w:rsidRDefault="00077507" w:rsidP="00077507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>
        <w:rPr>
          <w:rFonts w:ascii="Arial" w:hAnsi="Arial" w:cs="Arial"/>
          <w:szCs w:val="22"/>
          <w:highlight w:val="white"/>
          <w:shd w:val="clear" w:color="auto" w:fill="FFFF00"/>
        </w:rPr>
        <w:t xml:space="preserve">Cieľom predmetu je </w:t>
      </w:r>
      <w:r w:rsidR="00F02D4E" w:rsidRPr="005A09AE">
        <w:rPr>
          <w:rFonts w:ascii="Arial" w:hAnsi="Arial" w:cs="Arial"/>
          <w:szCs w:val="22"/>
          <w:highlight w:val="white"/>
          <w:shd w:val="clear" w:color="auto" w:fill="FFFF00"/>
        </w:rPr>
        <w:t xml:space="preserve">uvádzať </w:t>
      </w:r>
      <w:r w:rsidR="00F02D4E">
        <w:rPr>
          <w:rFonts w:ascii="Arial" w:hAnsi="Arial" w:cs="Arial"/>
          <w:szCs w:val="22"/>
          <w:highlight w:val="white"/>
          <w:shd w:val="clear" w:color="auto" w:fill="FFFF00"/>
        </w:rPr>
        <w:t>žiak</w:t>
      </w:r>
      <w:r w:rsidR="00F02D4E" w:rsidRPr="005A09AE">
        <w:rPr>
          <w:rFonts w:ascii="Arial" w:hAnsi="Arial" w:cs="Arial"/>
          <w:szCs w:val="22"/>
          <w:highlight w:val="white"/>
          <w:shd w:val="clear" w:color="auto" w:fill="FFFF00"/>
        </w:rPr>
        <w:t>ov do kresťanského života a dať im pevný základ viery pri formovaní ich dobrého charakteru</w:t>
      </w:r>
      <w:r>
        <w:rPr>
          <w:rFonts w:ascii="Arial" w:hAnsi="Arial" w:cs="Arial"/>
          <w:szCs w:val="22"/>
          <w:highlight w:val="white"/>
          <w:shd w:val="clear" w:color="auto" w:fill="FFFF00"/>
        </w:rPr>
        <w:t xml:space="preserve">, </w:t>
      </w:r>
      <w:r w:rsidR="00812939" w:rsidRPr="005A09AE">
        <w:rPr>
          <w:rFonts w:ascii="Arial" w:hAnsi="Arial" w:cs="Arial"/>
          <w:szCs w:val="22"/>
          <w:highlight w:val="white"/>
          <w:shd w:val="clear" w:color="auto" w:fill="FFFF00"/>
        </w:rPr>
        <w:t>v</w:t>
      </w:r>
      <w:r w:rsidR="00812939">
        <w:rPr>
          <w:rFonts w:ascii="Arial" w:hAnsi="Arial" w:cs="Arial"/>
          <w:szCs w:val="22"/>
          <w:highlight w:val="white"/>
          <w:shd w:val="clear" w:color="auto" w:fill="FFFF00"/>
        </w:rPr>
        <w:t>y</w:t>
      </w:r>
      <w:r w:rsidR="00812939" w:rsidRPr="005A09AE">
        <w:rPr>
          <w:rFonts w:ascii="Arial" w:hAnsi="Arial" w:cs="Arial"/>
          <w:szCs w:val="22"/>
          <w:highlight w:val="white"/>
          <w:shd w:val="clear" w:color="auto" w:fill="FFFF00"/>
        </w:rPr>
        <w:t>chov</w:t>
      </w:r>
      <w:r w:rsidR="00812939">
        <w:rPr>
          <w:rFonts w:ascii="Arial" w:hAnsi="Arial" w:cs="Arial"/>
          <w:szCs w:val="22"/>
          <w:highlight w:val="white"/>
          <w:shd w:val="clear" w:color="auto" w:fill="FFFF00"/>
        </w:rPr>
        <w:t>ávať</w:t>
      </w:r>
      <w:r w:rsidR="00812939" w:rsidRPr="005A09AE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szCs w:val="22"/>
          <w:highlight w:val="white"/>
          <w:shd w:val="clear" w:color="auto" w:fill="FFFF00"/>
        </w:rPr>
        <w:t xml:space="preserve">ich </w:t>
      </w:r>
      <w:r w:rsidR="00812939" w:rsidRPr="005A09AE">
        <w:rPr>
          <w:rFonts w:ascii="Arial" w:hAnsi="Arial" w:cs="Arial"/>
          <w:szCs w:val="22"/>
          <w:highlight w:val="white"/>
          <w:shd w:val="clear" w:color="auto" w:fill="FFFF00"/>
        </w:rPr>
        <w:t>k rôznym dimenziám viery, ktoré vyžadujú vieru poznať, slávi</w:t>
      </w:r>
      <w:r w:rsidR="00812939">
        <w:rPr>
          <w:rFonts w:ascii="Arial" w:hAnsi="Arial" w:cs="Arial"/>
          <w:szCs w:val="22"/>
          <w:highlight w:val="white"/>
          <w:shd w:val="clear" w:color="auto" w:fill="FFFF00"/>
        </w:rPr>
        <w:t>ť, žiť a pretlmočiť do modlitby</w:t>
      </w:r>
      <w:r>
        <w:rPr>
          <w:rFonts w:ascii="Arial" w:hAnsi="Arial" w:cs="Arial"/>
          <w:szCs w:val="22"/>
          <w:highlight w:val="white"/>
          <w:shd w:val="clear" w:color="auto" w:fill="FFFF00"/>
        </w:rPr>
        <w:t xml:space="preserve">, </w:t>
      </w:r>
      <w:r w:rsidR="00F02D4E" w:rsidRPr="005A09AE">
        <w:rPr>
          <w:rFonts w:ascii="Arial" w:hAnsi="Arial" w:cs="Arial"/>
          <w:szCs w:val="22"/>
          <w:highlight w:val="white"/>
          <w:shd w:val="clear" w:color="auto" w:fill="FFFF00"/>
        </w:rPr>
        <w:t>stimulovať rozvoj poznávacích schopností žiakov, podporovať ich cieľavedomosť, samostatnosť a</w:t>
      </w:r>
      <w:r>
        <w:rPr>
          <w:rFonts w:ascii="Arial" w:hAnsi="Arial" w:cs="Arial"/>
          <w:szCs w:val="22"/>
          <w:highlight w:val="white"/>
          <w:shd w:val="clear" w:color="auto" w:fill="FFFF00"/>
        </w:rPr>
        <w:t> </w:t>
      </w:r>
      <w:r w:rsidR="00F02D4E" w:rsidRPr="005A09AE">
        <w:rPr>
          <w:rFonts w:ascii="Arial" w:hAnsi="Arial" w:cs="Arial"/>
          <w:szCs w:val="22"/>
          <w:highlight w:val="white"/>
          <w:shd w:val="clear" w:color="auto" w:fill="FFFF00"/>
        </w:rPr>
        <w:t>tvorivos</w:t>
      </w:r>
      <w:r>
        <w:rPr>
          <w:rFonts w:ascii="Arial" w:hAnsi="Arial" w:cs="Arial"/>
          <w:szCs w:val="22"/>
          <w:highlight w:val="white"/>
          <w:shd w:val="clear" w:color="auto" w:fill="FFFF00"/>
        </w:rPr>
        <w:t>ť.</w:t>
      </w:r>
    </w:p>
    <w:p w:rsidR="0047613D" w:rsidRPr="00903DD3" w:rsidRDefault="0047613D" w:rsidP="006B221E">
      <w:pPr>
        <w:spacing w:before="120" w:after="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4A79">
        <w:rPr>
          <w:rFonts w:ascii="Arial" w:hAnsi="Arial" w:cs="Arial"/>
          <w:b/>
          <w:sz w:val="22"/>
          <w:szCs w:val="22"/>
          <w:u w:val="single"/>
        </w:rPr>
        <w:t>Stratégia vyučovania</w:t>
      </w:r>
    </w:p>
    <w:p w:rsidR="00124A79" w:rsidRPr="00124A79" w:rsidRDefault="00124A79" w:rsidP="00077507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Metódy vyučovania</w:t>
      </w:r>
    </w:p>
    <w:p w:rsidR="00124A79" w:rsidRDefault="0047613D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Motivačné</w:t>
      </w:r>
      <w:r w:rsidR="00124A79"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: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motivačný rozhovor, rozprávanie, aktualizácia obsa</w:t>
      </w:r>
      <w:r w:rsid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hu, uvádzanie príkladov z</w:t>
      </w:r>
      <w:r w:rsidR="00AB7BA3">
        <w:rPr>
          <w:rFonts w:ascii="Arial" w:hAnsi="Arial" w:cs="Arial"/>
          <w:sz w:val="22"/>
          <w:szCs w:val="22"/>
          <w:highlight w:val="white"/>
          <w:shd w:val="clear" w:color="auto" w:fill="FFFF00"/>
        </w:rPr>
        <w:t> </w:t>
      </w:r>
      <w:r w:rsid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praxe</w:t>
      </w:r>
      <w:r w:rsidR="00AB7BA3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motivačné </w:t>
      </w:r>
      <w:r w:rsidR="00AD6D3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obrázky</w:t>
      </w:r>
      <w:r w:rsidR="00077507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:rsidR="00124A79" w:rsidRDefault="00301455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Expozičné: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 w:rsidR="00AD6D34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výklad, </w:t>
      </w:r>
      <w:r w:rsidR="00124A79"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metódy </w:t>
      </w:r>
      <w:r w:rsidR="00AD6D3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skupinovej</w:t>
      </w:r>
      <w:r w:rsidR="00124A79"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práce, </w:t>
      </w:r>
      <w:r w:rsidR="00AD6D34">
        <w:rPr>
          <w:rFonts w:ascii="Arial" w:hAnsi="Arial" w:cs="Arial"/>
          <w:sz w:val="22"/>
          <w:szCs w:val="22"/>
          <w:highlight w:val="white"/>
          <w:shd w:val="clear" w:color="auto" w:fill="FFFF00"/>
        </w:rPr>
        <w:t>riešenie úloh</w:t>
      </w:r>
      <w:r w:rsidR="00AB7BA3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r w:rsidR="00112BC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zvukový</w:t>
      </w:r>
      <w:r w:rsidR="00AB7BA3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prenos</w:t>
      </w:r>
      <w:r w:rsidR="00077507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:rsidR="00124A79" w:rsidRDefault="00124A79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Fixačné: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ústne a písomné precvičovanie a opakovan</w:t>
      </w:r>
      <w:r w:rsidR="00301455">
        <w:rPr>
          <w:rFonts w:ascii="Arial" w:hAnsi="Arial" w:cs="Arial"/>
          <w:sz w:val="22"/>
          <w:szCs w:val="22"/>
          <w:highlight w:val="white"/>
          <w:shd w:val="clear" w:color="auto" w:fill="FFFF00"/>
        </w:rPr>
        <w:t>ie, syntetizujúci dialóg</w:t>
      </w:r>
      <w:r w:rsidR="00077507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:rsidR="00124A79" w:rsidRPr="00124A79" w:rsidRDefault="00124A79" w:rsidP="00077507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Formy práce</w:t>
      </w:r>
    </w:p>
    <w:p w:rsidR="00683EEF" w:rsidRDefault="00683EEF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frontálna výučba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124A79" w:rsidRDefault="00124A79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frontá</w:t>
      </w:r>
      <w:r w:rsidR="00683EE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lna a individuálna práca žiakov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683EEF" w:rsidRPr="00124A79" w:rsidRDefault="00683EEF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skupinová práca žiakov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124A79" w:rsidRPr="00301455" w:rsidRDefault="00124A79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30145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práca s knihou, </w:t>
      </w:r>
      <w:r w:rsidR="00683EEF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textami,</w:t>
      </w:r>
      <w:r w:rsidRPr="0030145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obrázkami, </w:t>
      </w:r>
      <w:r w:rsidR="004C1E6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katolíckymi </w:t>
      </w:r>
      <w:r w:rsidRPr="0030145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periodikami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CD182A" w:rsidRDefault="00CD182A" w:rsidP="00077507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Metódy a prostriedky hodnotenia</w:t>
      </w:r>
    </w:p>
    <w:p w:rsidR="00237B74" w:rsidRDefault="00237B74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ústne frontálne skúšanie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Default="00301455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rozhovor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CD182A" w:rsidRPr="00CD182A" w:rsidRDefault="00237B74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lastRenderedPageBreak/>
        <w:t>skupinov</w:t>
      </w:r>
      <w:r w:rsidR="0048366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é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prác</w:t>
      </w:r>
      <w:r w:rsidR="0048366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e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F12EDE" w:rsidRDefault="00F12EDE" w:rsidP="00077507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Všeobecné pokyn</w:t>
      </w:r>
      <w:r w:rsidR="0013303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y</w:t>
      </w: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 xml:space="preserve"> k hodnoteniu</w:t>
      </w:r>
    </w:p>
    <w:p w:rsidR="00133039" w:rsidRDefault="00133039" w:rsidP="0013303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hodnotenie sa riadi 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Metodický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pokyn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om</w:t>
      </w:r>
      <w:r w:rsidR="0030145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č.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21/2011 na hodnotenie a kla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sifikáciu žiakov stredných škôl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077507" w:rsidRDefault="00077507" w:rsidP="00077507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v prípade mimoriadnej situácie sa hodnotenie riadi aktuálnymi pokynmi, rozhodnutiami a usmerneniami MŠVVaŠ SR, </w:t>
      </w:r>
    </w:p>
    <w:p w:rsidR="00077507" w:rsidRDefault="00077507" w:rsidP="00077507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 prácu so začlenenými žiakmi pracujúcimi podľa individuálnych výchovnovzdelávacích plánov sa hodnotenie riadi pokynmi špeciálneho pedagóga, ktoré sú zapracované v Internom materiály pre príslušný školský rok (Výchova a vzdelávanie žiakov so špeciálnymi výchovno-vzdelávacími potrebami),</w:t>
      </w:r>
    </w:p>
    <w:p w:rsidR="00077507" w:rsidRDefault="00077507" w:rsidP="00F12EDE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predmet nie je klasifikovaný,</w:t>
      </w:r>
    </w:p>
    <w:p w:rsidR="00F12EDE" w:rsidRDefault="00F12EDE" w:rsidP="00F12EDE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po</w:t>
      </w:r>
      <w:r w:rsidR="00171C9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užívanie metód hodnotenia formou slovnej pochvaly</w:t>
      </w:r>
      <w:r w:rsidR="0064685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 slovného pokarhania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264BCA" w:rsidRDefault="00264BCA" w:rsidP="00F12EDE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súčasťou hodnotenia je aj sebahodnotenie žiakov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8D2C14" w:rsidRDefault="008D2C14" w:rsidP="00077507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Učebné zdroje</w:t>
      </w:r>
    </w:p>
    <w:p w:rsid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1. ročník</w:t>
      </w:r>
    </w:p>
    <w:p w:rsidR="008D2C14" w:rsidRPr="0041789B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:rsidR="00CE43AF" w:rsidRPr="004C1E68" w:rsidRDefault="00CE43AF" w:rsidP="004C1E68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Gembalová</w:t>
      </w:r>
      <w:proofErr w:type="spellEnd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A.</w:t>
      </w:r>
      <w:r w:rsidR="00A212D0" w:rsidRPr="0041789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: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Vzťahy a zodpovednosť: metodická príručka katolíckeho náboženstva pre 1. ročník stredných škôl</w:t>
      </w:r>
      <w:r w:rsidR="00A212D0" w:rsidRPr="0041789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Spišská Nová Ves</w:t>
      </w:r>
      <w:r w:rsidR="0041789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Katolícke pedagogické a katechetické centrum</w:t>
      </w:r>
      <w:r w:rsidR="0041789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2010</w:t>
      </w:r>
      <w:r w:rsidR="0041789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 2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47</w:t>
      </w:r>
      <w:r w:rsidR="00CB517A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 w:rsidR="00A212D0" w:rsidRPr="0041789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s</w:t>
      </w:r>
      <w:r w:rsidR="00CB517A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  <w:r w:rsidR="00A212D0" w:rsidRPr="0041789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  <w:r w:rsidR="0041789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ISBN</w:t>
      </w:r>
      <w:r w:rsidR="0041789B" w:rsidRPr="0041789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978-80-970557-3-8.</w:t>
      </w:r>
    </w:p>
    <w:p w:rsidR="006B3B0A" w:rsidRPr="009B6EA2" w:rsidRDefault="006B3B0A" w:rsidP="00AD3DBA">
      <w:pPr>
        <w:pStyle w:val="Standard"/>
        <w:shd w:val="clear" w:color="auto" w:fill="FFFFFF" w:themeFill="background1"/>
        <w:spacing w:before="120" w:line="276" w:lineRule="auto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:rsidR="006B3B0A" w:rsidRPr="00DD094A" w:rsidRDefault="006B3B0A" w:rsidP="00DD094A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 tabuľa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6B3B0A" w:rsidRPr="009B6EA2" w:rsidRDefault="00DD094A" w:rsidP="00AD3DBA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CD</w:t>
      </w:r>
      <w:r w:rsidR="006B3B0A"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–</w:t>
      </w:r>
      <w:r w:rsidR="006B3B0A"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preh</w:t>
      </w:r>
      <w:r w:rsidR="006B3B0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r</w:t>
      </w:r>
      <w:r w:rsidR="006B3B0A"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ávač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6B3B0A" w:rsidRPr="009B6EA2" w:rsidRDefault="006B3B0A" w:rsidP="00AD3DBA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CD nosiče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6B3B0A" w:rsidRPr="00AD3DBA" w:rsidRDefault="006B3B0A" w:rsidP="00AD3DBA">
      <w:pPr>
        <w:pStyle w:val="Standard"/>
        <w:shd w:val="clear" w:color="auto" w:fill="FFFFFF" w:themeFill="background1"/>
        <w:spacing w:before="120" w:line="276" w:lineRule="auto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:rsidR="006B3B0A" w:rsidRDefault="00077507" w:rsidP="00AD3DBA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t</w:t>
      </w:r>
      <w:r w:rsidR="00DD094A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exty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DD094A" w:rsidRDefault="00077507" w:rsidP="00AD3DBA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obrázky,</w:t>
      </w:r>
    </w:p>
    <w:p w:rsidR="00DD094A" w:rsidRDefault="00DD094A" w:rsidP="00AD3DBA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knihy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DD094A" w:rsidRPr="009B6EA2" w:rsidRDefault="00DD094A" w:rsidP="00AD3DBA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články z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časopisov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6B3B0A" w:rsidRPr="009B6EA2" w:rsidRDefault="006B3B0A" w:rsidP="00AD3DBA">
      <w:pPr>
        <w:pStyle w:val="Standard"/>
        <w:shd w:val="clear" w:color="auto" w:fill="FFFFFF" w:themeFill="background1"/>
        <w:spacing w:before="120" w:line="276" w:lineRule="auto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:rsidR="006B3B0A" w:rsidRDefault="006B3B0A" w:rsidP="0044457D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internet</w:t>
      </w:r>
      <w:r w:rsidR="0044457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-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44457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Sväté písmo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44457D" w:rsidRDefault="0044457D" w:rsidP="0044457D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Katechizmus katolíckej Cirkvi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44457D" w:rsidRPr="009B6EA2" w:rsidRDefault="0044457D" w:rsidP="0044457D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katolíck</w:t>
      </w:r>
      <w:r w:rsidR="00A36B01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e periodiká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2</w:t>
      </w:r>
      <w:r w:rsidRPr="008D2C14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p w:rsidR="00CD182A" w:rsidRPr="008D2C14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:rsidR="005E6BD8" w:rsidRPr="004C1E68" w:rsidRDefault="00CE43AF" w:rsidP="004C1E68">
      <w:pPr>
        <w:pStyle w:val="Standard"/>
        <w:numPr>
          <w:ilvl w:val="0"/>
          <w:numId w:val="44"/>
        </w:numPr>
        <w:spacing w:before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highlight w:val="white"/>
          <w:shd w:val="clear" w:color="auto" w:fill="FFFF00"/>
        </w:rPr>
      </w:pPr>
      <w:proofErr w:type="spellStart"/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G</w:t>
      </w:r>
      <w:r w:rsidR="0081293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embalová</w:t>
      </w:r>
      <w:proofErr w:type="spellEnd"/>
      <w:r w:rsidR="0081293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A.</w:t>
      </w:r>
      <w:r w:rsidRPr="0041789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: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Hodnoty a rozhodnutia: metodická príručka katolíckeho náboženstva pre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lastRenderedPageBreak/>
        <w:t>2. ročník stredných škôl</w:t>
      </w:r>
      <w:r w:rsidRPr="0041789B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,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Spišská Nová Ves, </w:t>
      </w:r>
      <w:r w:rsidR="0081293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Katolícke pedagogické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a</w:t>
      </w:r>
      <w:r w:rsidR="0081293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katechetické centrum, 2010, </w:t>
      </w:r>
      <w:r w:rsidR="005E6BD8">
        <w:rPr>
          <w:rFonts w:ascii="Arial" w:hAnsi="Arial" w:cs="Arial"/>
          <w:sz w:val="22"/>
          <w:szCs w:val="22"/>
          <w:highlight w:val="white"/>
          <w:shd w:val="clear" w:color="auto" w:fill="FFFF00"/>
        </w:rPr>
        <w:t>322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 w:rsidRPr="0041789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s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  <w:r w:rsidRPr="0041789B">
        <w:rPr>
          <w:rFonts w:ascii="Arial" w:hAnsi="Arial" w:cs="Arial"/>
          <w:sz w:val="22"/>
          <w:szCs w:val="22"/>
          <w:highlight w:val="white"/>
          <w:shd w:val="clear" w:color="auto" w:fill="FFFF00"/>
        </w:rPr>
        <w:t>,</w:t>
      </w:r>
      <w:r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ISBN</w:t>
      </w:r>
      <w:r w:rsidRPr="0041789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978-80-970557-</w:t>
      </w:r>
      <w:r w:rsidR="005E6B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6-9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AD3DBA" w:rsidRPr="009B6EA2" w:rsidRDefault="00AD3DBA" w:rsidP="00AD3DBA">
      <w:pPr>
        <w:pStyle w:val="Standard"/>
        <w:shd w:val="clear" w:color="auto" w:fill="FFFFFF" w:themeFill="background1"/>
        <w:spacing w:before="120" w:line="276" w:lineRule="auto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:rsidR="0044457D" w:rsidRPr="00DD094A" w:rsidRDefault="0044457D" w:rsidP="0044457D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školská tabuľa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44457D" w:rsidRPr="009B6EA2" w:rsidRDefault="0044457D" w:rsidP="0044457D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CD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–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preh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r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ávač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AD3DBA" w:rsidRPr="0044457D" w:rsidRDefault="0044457D" w:rsidP="0044457D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CD nosiče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AD3DBA" w:rsidRPr="00AD3DBA" w:rsidRDefault="00AD3DBA" w:rsidP="00AD3DBA">
      <w:pPr>
        <w:pStyle w:val="Standard"/>
        <w:shd w:val="clear" w:color="auto" w:fill="FFFFFF" w:themeFill="background1"/>
        <w:spacing w:before="120" w:line="276" w:lineRule="auto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:rsidR="0044457D" w:rsidRDefault="00077507" w:rsidP="0044457D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t</w:t>
      </w:r>
      <w:r w:rsidR="0044457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exty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44457D" w:rsidRDefault="0044457D" w:rsidP="0044457D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obrázky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44457D" w:rsidRDefault="0044457D" w:rsidP="0044457D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knihy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44457D" w:rsidRPr="009B6EA2" w:rsidRDefault="0044457D" w:rsidP="0044457D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články z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časopisov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AD3DBA" w:rsidRPr="009B6EA2" w:rsidRDefault="00AD3DBA" w:rsidP="00AD3DBA">
      <w:pPr>
        <w:pStyle w:val="Standard"/>
        <w:shd w:val="clear" w:color="auto" w:fill="FFFFFF" w:themeFill="background1"/>
        <w:spacing w:before="120" w:line="276" w:lineRule="auto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:rsidR="0044457D" w:rsidRDefault="0044457D" w:rsidP="0044457D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internet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-</w:t>
      </w:r>
      <w:r w:rsidRPr="009B6EA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Sväté písmo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4C1E68" w:rsidRDefault="0044457D" w:rsidP="004C1E68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Katechizmus katolíckej Cirkvi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:rsidR="004C1E68" w:rsidRPr="006B221E" w:rsidRDefault="0044457D" w:rsidP="006B221E">
      <w:pPr>
        <w:pStyle w:val="Standard"/>
        <w:numPr>
          <w:ilvl w:val="0"/>
          <w:numId w:val="27"/>
        </w:numPr>
        <w:shd w:val="clear" w:color="auto" w:fill="FFFFFF" w:themeFill="background1"/>
        <w:spacing w:before="120" w:line="276" w:lineRule="auto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4C1E68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katolíck</w:t>
      </w:r>
      <w:r w:rsidR="00E20665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e periodiká</w:t>
      </w:r>
      <w:r w:rsidR="00077507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:rsidR="008D2C14" w:rsidRDefault="002871D8" w:rsidP="00077507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Vzdelávacie štandardy</w:t>
      </w:r>
    </w:p>
    <w:p w:rsidR="00CD182A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1</w:t>
      </w:r>
      <w:r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077507" w:rsidRPr="0075038D" w:rsidTr="00A447B5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77507" w:rsidRPr="003E1F53" w:rsidRDefault="00077507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077507" w:rsidRPr="003E1F53" w:rsidRDefault="00077507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077507" w:rsidRPr="003E1F53" w:rsidRDefault="00077507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077507" w:rsidRPr="0051494F" w:rsidTr="00A447B5">
        <w:tc>
          <w:tcPr>
            <w:tcW w:w="8755" w:type="dxa"/>
            <w:gridSpan w:val="2"/>
            <w:shd w:val="clear" w:color="auto" w:fill="F2F2F2" w:themeFill="background1" w:themeFillShade="F2"/>
          </w:tcPr>
          <w:p w:rsidR="00077507" w:rsidRPr="00D11135" w:rsidRDefault="007F7B30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Hľadanie cesty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77507" w:rsidRPr="00D11135" w:rsidRDefault="007F7B30" w:rsidP="00A447B5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7F7B30" w:rsidRPr="0051494F" w:rsidTr="00A447B5">
        <w:tc>
          <w:tcPr>
            <w:tcW w:w="2943" w:type="dxa"/>
          </w:tcPr>
          <w:p w:rsidR="007F7B30" w:rsidRPr="00D11135" w:rsidRDefault="007F7B30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zdôvodniť význam komunikácie a modlitby v živote človeka,</w:t>
            </w:r>
          </w:p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charakterizovať podstatné zložky človeka,</w:t>
            </w:r>
          </w:p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osvojiť si základné prvky verbálnej a neverbálnej komunikácie.</w:t>
            </w:r>
          </w:p>
        </w:tc>
        <w:tc>
          <w:tcPr>
            <w:tcW w:w="779" w:type="dxa"/>
          </w:tcPr>
          <w:p w:rsidR="007F7B30" w:rsidRPr="00D11135" w:rsidRDefault="007F7B30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</w:p>
        </w:tc>
      </w:tr>
      <w:tr w:rsidR="007F7B30" w:rsidRPr="0051494F" w:rsidTr="007F7B30">
        <w:tc>
          <w:tcPr>
            <w:tcW w:w="8755" w:type="dxa"/>
            <w:gridSpan w:val="2"/>
            <w:shd w:val="clear" w:color="auto" w:fill="F2F2F2" w:themeFill="background1" w:themeFillShade="F2"/>
          </w:tcPr>
          <w:p w:rsidR="007F7B30" w:rsidRPr="007F7B30" w:rsidRDefault="007F7B30" w:rsidP="007F7B3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F7B30">
              <w:rPr>
                <w:rFonts w:ascii="Arial" w:hAnsi="Arial" w:cs="Arial"/>
                <w:b/>
                <w:sz w:val="22"/>
                <w:szCs w:val="22"/>
              </w:rPr>
              <w:t>Boh v ľudskom svete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7F7B30" w:rsidRPr="007F7B30" w:rsidRDefault="007F7B30" w:rsidP="007F7B3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3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7F7B30" w:rsidRPr="0051494F" w:rsidTr="00A447B5">
        <w:tc>
          <w:tcPr>
            <w:tcW w:w="2943" w:type="dxa"/>
          </w:tcPr>
          <w:p w:rsidR="007F7B30" w:rsidRPr="00D11135" w:rsidRDefault="007F7B30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vysvetliť význam morálneho svedomia pre život človeka,</w:t>
            </w:r>
          </w:p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porovnať oslovenie Boha a dô</w:t>
            </w:r>
            <w:r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veru v Boha u Abraháma a Márie,</w:t>
            </w:r>
          </w:p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charakterizovať zmluvu B</w:t>
            </w:r>
            <w:r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oha s človekom a jej záväznosť,</w:t>
            </w:r>
          </w:p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 xml:space="preserve">vnímať hodnotu ticha a pravidlá spolupráce. </w:t>
            </w:r>
          </w:p>
        </w:tc>
        <w:tc>
          <w:tcPr>
            <w:tcW w:w="779" w:type="dxa"/>
          </w:tcPr>
          <w:p w:rsidR="007F7B30" w:rsidRPr="00D11135" w:rsidRDefault="007F7B30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</w:p>
        </w:tc>
      </w:tr>
      <w:tr w:rsidR="007F7B30" w:rsidRPr="0051494F" w:rsidTr="007F7B30">
        <w:tc>
          <w:tcPr>
            <w:tcW w:w="8755" w:type="dxa"/>
            <w:gridSpan w:val="2"/>
            <w:shd w:val="clear" w:color="auto" w:fill="F2F2F2" w:themeFill="background1" w:themeFillShade="F2"/>
          </w:tcPr>
          <w:p w:rsidR="007F7B30" w:rsidRPr="007F7B30" w:rsidRDefault="007F7B30" w:rsidP="007F7B3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F7B30">
              <w:rPr>
                <w:rFonts w:ascii="Arial" w:hAnsi="Arial" w:cs="Arial"/>
                <w:b/>
                <w:sz w:val="22"/>
                <w:szCs w:val="22"/>
              </w:rPr>
              <w:t xml:space="preserve">Byť človekom 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7F7B30" w:rsidRPr="007F7B30" w:rsidRDefault="007F7B30" w:rsidP="007F7B3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3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7F7B30" w:rsidRPr="0051494F" w:rsidTr="00A447B5">
        <w:tc>
          <w:tcPr>
            <w:tcW w:w="2943" w:type="dxa"/>
          </w:tcPr>
          <w:p w:rsidR="007F7B30" w:rsidRPr="00D11135" w:rsidRDefault="007F7B30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vnímať dôstojnosť ľudskej osoby od počatia,</w:t>
            </w:r>
          </w:p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preskúmať rôzne druhy informácií a vyjadriť k nim kritický postoj.</w:t>
            </w:r>
          </w:p>
        </w:tc>
        <w:tc>
          <w:tcPr>
            <w:tcW w:w="779" w:type="dxa"/>
          </w:tcPr>
          <w:p w:rsidR="007F7B30" w:rsidRPr="00D11135" w:rsidRDefault="007F7B30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</w:p>
        </w:tc>
      </w:tr>
      <w:tr w:rsidR="007F7B30" w:rsidRPr="0051494F" w:rsidTr="007F7B30">
        <w:tc>
          <w:tcPr>
            <w:tcW w:w="8755" w:type="dxa"/>
            <w:gridSpan w:val="2"/>
            <w:shd w:val="clear" w:color="auto" w:fill="F2F2F2" w:themeFill="background1" w:themeFillShade="F2"/>
          </w:tcPr>
          <w:p w:rsidR="007F7B30" w:rsidRPr="007F7B30" w:rsidRDefault="007F7B30" w:rsidP="007F7B3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F7B30">
              <w:rPr>
                <w:rFonts w:ascii="Arial" w:hAnsi="Arial" w:cs="Arial"/>
                <w:b/>
                <w:sz w:val="22"/>
                <w:szCs w:val="22"/>
              </w:rPr>
              <w:t>Na ceste k osobnosti – šance a riziká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7F7B30" w:rsidRPr="007F7B30" w:rsidRDefault="007F7B30" w:rsidP="007F7B3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3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7F7B30" w:rsidRPr="0051494F" w:rsidTr="00A447B5">
        <w:tc>
          <w:tcPr>
            <w:tcW w:w="2943" w:type="dxa"/>
          </w:tcPr>
          <w:p w:rsidR="007F7B30" w:rsidRPr="00D11135" w:rsidRDefault="007F7B30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ceniť si vlastnú jedinečnosť,</w:t>
            </w:r>
          </w:p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chápať život nielen ako dar, ale aj ako úlohu,</w:t>
            </w:r>
          </w:p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osvojiť si kritický prístup k vlastnému životu.</w:t>
            </w:r>
          </w:p>
        </w:tc>
        <w:tc>
          <w:tcPr>
            <w:tcW w:w="779" w:type="dxa"/>
          </w:tcPr>
          <w:p w:rsidR="007F7B30" w:rsidRPr="00D11135" w:rsidRDefault="007F7B30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</w:p>
        </w:tc>
      </w:tr>
      <w:tr w:rsidR="007F7B30" w:rsidRPr="0051494F" w:rsidTr="007F7B30">
        <w:tc>
          <w:tcPr>
            <w:tcW w:w="8755" w:type="dxa"/>
            <w:gridSpan w:val="2"/>
            <w:shd w:val="clear" w:color="auto" w:fill="F2F2F2" w:themeFill="background1" w:themeFillShade="F2"/>
          </w:tcPr>
          <w:p w:rsidR="007F7B30" w:rsidRPr="007F7B30" w:rsidRDefault="007F7B30" w:rsidP="007F7B30">
            <w:pPr>
              <w:spacing w:before="120" w:line="276" w:lineRule="auto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/>
              </w:rPr>
              <w:t xml:space="preserve">Boh a človek 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7F7B30" w:rsidRPr="007F7B30" w:rsidRDefault="007F7B30" w:rsidP="007F7B3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3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7F7B30" w:rsidRPr="0051494F" w:rsidTr="00A447B5">
        <w:tc>
          <w:tcPr>
            <w:tcW w:w="2943" w:type="dxa"/>
          </w:tcPr>
          <w:p w:rsidR="007F7B30" w:rsidRPr="00D11135" w:rsidRDefault="007F7B30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nachádzať si svoje miesto v spoločnosti iných ľudí,</w:t>
            </w:r>
          </w:p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vnímať sviatosti ako Božie pôsobenie vo svojom živote a prijímať ich ako pomoc pri prekonávaní životných prekážok.</w:t>
            </w:r>
          </w:p>
        </w:tc>
        <w:tc>
          <w:tcPr>
            <w:tcW w:w="779" w:type="dxa"/>
          </w:tcPr>
          <w:p w:rsidR="007F7B30" w:rsidRPr="00D11135" w:rsidRDefault="007F7B30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</w:p>
        </w:tc>
      </w:tr>
      <w:tr w:rsidR="007F7B30" w:rsidRPr="007F7B30" w:rsidTr="007F7B30">
        <w:tc>
          <w:tcPr>
            <w:tcW w:w="8755" w:type="dxa"/>
            <w:gridSpan w:val="2"/>
            <w:shd w:val="clear" w:color="auto" w:fill="F2F2F2" w:themeFill="background1" w:themeFillShade="F2"/>
          </w:tcPr>
          <w:p w:rsidR="007F7B30" w:rsidRPr="007F7B30" w:rsidRDefault="007F7B30" w:rsidP="007F7B30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F7B30">
              <w:rPr>
                <w:rFonts w:ascii="Arial" w:hAnsi="Arial" w:cs="Arial"/>
                <w:b/>
                <w:sz w:val="22"/>
                <w:szCs w:val="22"/>
              </w:rPr>
              <w:t>Človek v spoločenstve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7F7B30" w:rsidRPr="007F7B30" w:rsidRDefault="007F7B30" w:rsidP="007F7B30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B3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7F7B30" w:rsidRPr="0051494F" w:rsidTr="00A447B5">
        <w:tc>
          <w:tcPr>
            <w:tcW w:w="2943" w:type="dxa"/>
          </w:tcPr>
          <w:p w:rsidR="007F7B30" w:rsidRPr="00D11135" w:rsidRDefault="007F7B30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venovať pozornosť kresťanskému pohľadu na ľudskú sexualitu a zodpovedné rodičovstvo,</w:t>
            </w:r>
          </w:p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byť otvorený pre aktívnu účasť na slávnostiach v spoločnosti ako aj na liturgických slávnostiach.</w:t>
            </w:r>
          </w:p>
        </w:tc>
        <w:tc>
          <w:tcPr>
            <w:tcW w:w="779" w:type="dxa"/>
          </w:tcPr>
          <w:p w:rsidR="007F7B30" w:rsidRPr="00D11135" w:rsidRDefault="007F7B30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</w:p>
        </w:tc>
      </w:tr>
    </w:tbl>
    <w:p w:rsidR="00077507" w:rsidRDefault="00077507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</w:p>
    <w:p w:rsidR="0051494F" w:rsidRDefault="00003815" w:rsidP="0051494F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 w:rsidRPr="009F5729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2</w:t>
      </w:r>
      <w:r w:rsidR="0051494F" w:rsidRPr="009F5729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7F7B30" w:rsidRPr="0075038D" w:rsidTr="00A447B5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F7B30" w:rsidRPr="003E1F53" w:rsidRDefault="007F7B30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7F7B30" w:rsidRPr="003E1F53" w:rsidRDefault="007F7B30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7F7B30" w:rsidRPr="003E1F53" w:rsidRDefault="007F7B30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7F7B30" w:rsidRPr="0051494F" w:rsidTr="00A447B5">
        <w:tc>
          <w:tcPr>
            <w:tcW w:w="8755" w:type="dxa"/>
            <w:gridSpan w:val="2"/>
            <w:shd w:val="clear" w:color="auto" w:fill="F2F2F2" w:themeFill="background1" w:themeFillShade="F2"/>
          </w:tcPr>
          <w:p w:rsidR="007F7B30" w:rsidRPr="00D11135" w:rsidRDefault="007F7B30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Moje hodnoty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7F7B30" w:rsidRPr="00D11135" w:rsidRDefault="007F7B30" w:rsidP="00A447B5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7F7B30" w:rsidRPr="0051494F" w:rsidTr="00A447B5">
        <w:tc>
          <w:tcPr>
            <w:tcW w:w="2943" w:type="dxa"/>
          </w:tcPr>
          <w:p w:rsidR="007F7B30" w:rsidRPr="00D11135" w:rsidRDefault="007F7B30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posúdiť podiel výberu hodnôt pri tvorbe životného štýlu,</w:t>
            </w:r>
          </w:p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prejaviť záujem o pravé hodnoty,</w:t>
            </w:r>
          </w:p>
          <w:p w:rsidR="007F7B30" w:rsidRPr="007F7B30" w:rsidRDefault="007F7B30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zostaviť rebríček svojich hodnôt.</w:t>
            </w:r>
          </w:p>
        </w:tc>
        <w:tc>
          <w:tcPr>
            <w:tcW w:w="779" w:type="dxa"/>
          </w:tcPr>
          <w:p w:rsidR="007F7B30" w:rsidRPr="00D11135" w:rsidRDefault="007F7B30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</w:p>
        </w:tc>
      </w:tr>
      <w:tr w:rsidR="00167045" w:rsidRPr="0051494F" w:rsidTr="00167045">
        <w:tc>
          <w:tcPr>
            <w:tcW w:w="8755" w:type="dxa"/>
            <w:gridSpan w:val="2"/>
            <w:shd w:val="clear" w:color="auto" w:fill="F2F2F2" w:themeFill="background1" w:themeFillShade="F2"/>
          </w:tcPr>
          <w:p w:rsidR="00167045" w:rsidRPr="00167045" w:rsidRDefault="00167045" w:rsidP="0016704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F7B30">
              <w:rPr>
                <w:rFonts w:ascii="Arial" w:hAnsi="Arial" w:cs="Arial"/>
                <w:b/>
                <w:sz w:val="22"/>
                <w:szCs w:val="22"/>
              </w:rPr>
              <w:t>Hodnoty života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167045" w:rsidRPr="00167045" w:rsidRDefault="00167045" w:rsidP="00167045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04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167045" w:rsidRPr="0051494F" w:rsidTr="00A447B5">
        <w:tc>
          <w:tcPr>
            <w:tcW w:w="2943" w:type="dxa"/>
          </w:tcPr>
          <w:p w:rsidR="00167045" w:rsidRPr="00D11135" w:rsidRDefault="00167045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vysvetliť a obhájiť právo človeka na život od počatia,</w:t>
            </w:r>
          </w:p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posúdiť hodnotu rodiny a pomenovať jej ohrozenia v súčasnosti,</w:t>
            </w:r>
          </w:p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prejaviť zdravú sebaúctu a vzájomnú úctu.</w:t>
            </w:r>
          </w:p>
        </w:tc>
        <w:tc>
          <w:tcPr>
            <w:tcW w:w="779" w:type="dxa"/>
          </w:tcPr>
          <w:p w:rsidR="00167045" w:rsidRPr="00D11135" w:rsidRDefault="00167045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</w:p>
        </w:tc>
      </w:tr>
      <w:tr w:rsidR="00167045" w:rsidRPr="0051494F" w:rsidTr="00167045">
        <w:tc>
          <w:tcPr>
            <w:tcW w:w="8755" w:type="dxa"/>
            <w:gridSpan w:val="2"/>
            <w:shd w:val="clear" w:color="auto" w:fill="F2F2F2" w:themeFill="background1" w:themeFillShade="F2"/>
          </w:tcPr>
          <w:p w:rsidR="00167045" w:rsidRPr="00167045" w:rsidRDefault="00167045" w:rsidP="0016704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F7B30">
              <w:rPr>
                <w:rFonts w:ascii="Arial" w:hAnsi="Arial" w:cs="Arial"/>
                <w:b/>
                <w:sz w:val="22"/>
                <w:szCs w:val="22"/>
              </w:rPr>
              <w:t>Šírenie kresťanských hodnôt v Európe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167045" w:rsidRPr="00167045" w:rsidRDefault="00167045" w:rsidP="00167045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04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167045" w:rsidRPr="0051494F" w:rsidTr="00A447B5">
        <w:tc>
          <w:tcPr>
            <w:tcW w:w="2943" w:type="dxa"/>
          </w:tcPr>
          <w:p w:rsidR="00167045" w:rsidRPr="00D11135" w:rsidRDefault="00167045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vys</w:t>
            </w:r>
            <w:r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vetliť úlohu hierarchie Cirkvi,</w:t>
            </w:r>
          </w:p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lastRenderedPageBreak/>
              <w:t>opísať šírenie kresťanstva,</w:t>
            </w:r>
          </w:p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prejaviť záujem o dianie v Cirkvi,</w:t>
            </w:r>
          </w:p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formovať kritické myslenie a hodnotenie.</w:t>
            </w:r>
          </w:p>
        </w:tc>
        <w:tc>
          <w:tcPr>
            <w:tcW w:w="779" w:type="dxa"/>
          </w:tcPr>
          <w:p w:rsidR="00167045" w:rsidRPr="00D11135" w:rsidRDefault="00167045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</w:p>
        </w:tc>
      </w:tr>
      <w:tr w:rsidR="00167045" w:rsidRPr="0051494F" w:rsidTr="00167045">
        <w:tc>
          <w:tcPr>
            <w:tcW w:w="8755" w:type="dxa"/>
            <w:gridSpan w:val="2"/>
            <w:shd w:val="clear" w:color="auto" w:fill="F2F2F2" w:themeFill="background1" w:themeFillShade="F2"/>
          </w:tcPr>
          <w:p w:rsidR="00167045" w:rsidRPr="00167045" w:rsidRDefault="00167045" w:rsidP="0016704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F7B30">
              <w:rPr>
                <w:rFonts w:ascii="Arial" w:hAnsi="Arial" w:cs="Arial"/>
                <w:b/>
                <w:sz w:val="22"/>
                <w:szCs w:val="22"/>
              </w:rPr>
              <w:t>Kresťanské hodnoty v spoločnosti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167045" w:rsidRPr="00167045" w:rsidRDefault="00167045" w:rsidP="00167045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04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67045" w:rsidRPr="0051494F" w:rsidTr="00A447B5">
        <w:tc>
          <w:tcPr>
            <w:tcW w:w="2943" w:type="dxa"/>
          </w:tcPr>
          <w:p w:rsidR="00167045" w:rsidRPr="007F7B30" w:rsidRDefault="00167045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rozlí</w:t>
            </w:r>
            <w:r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šiť úlohu Cirkvi a úlohu štátu,</w:t>
            </w:r>
          </w:p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prija</w:t>
            </w:r>
            <w:r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ť slobodu, ale aj zodpovednosť,</w:t>
            </w:r>
          </w:p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podieľať sa na spoločnej práci v triede.</w:t>
            </w:r>
          </w:p>
        </w:tc>
        <w:tc>
          <w:tcPr>
            <w:tcW w:w="779" w:type="dxa"/>
          </w:tcPr>
          <w:p w:rsidR="00167045" w:rsidRPr="00D11135" w:rsidRDefault="00167045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</w:p>
        </w:tc>
      </w:tr>
      <w:tr w:rsidR="00167045" w:rsidRPr="0051494F" w:rsidTr="00167045">
        <w:tc>
          <w:tcPr>
            <w:tcW w:w="8755" w:type="dxa"/>
            <w:gridSpan w:val="2"/>
            <w:shd w:val="clear" w:color="auto" w:fill="F2F2F2" w:themeFill="background1" w:themeFillShade="F2"/>
          </w:tcPr>
          <w:p w:rsidR="00167045" w:rsidRPr="00167045" w:rsidRDefault="00167045" w:rsidP="0016704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F7B30">
              <w:rPr>
                <w:rFonts w:ascii="Arial" w:hAnsi="Arial" w:cs="Arial"/>
                <w:b/>
                <w:sz w:val="22"/>
                <w:szCs w:val="22"/>
              </w:rPr>
              <w:t>Pramene plnohodnotného života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167045" w:rsidRPr="00167045" w:rsidRDefault="00167045" w:rsidP="00167045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04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167045" w:rsidRPr="0051494F" w:rsidTr="00A447B5">
        <w:tc>
          <w:tcPr>
            <w:tcW w:w="2943" w:type="dxa"/>
          </w:tcPr>
          <w:p w:rsidR="00167045" w:rsidRPr="007F7B30" w:rsidRDefault="00167045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položiť si kritické otázky o svojej viere v Boha a vzťahu k nemu,</w:t>
            </w:r>
          </w:p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opísať formy modlitby,</w:t>
            </w:r>
          </w:p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prehĺbiť vlastné hľadanie Boha,</w:t>
            </w:r>
          </w:p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písomne vyjadriť svoj postoj k zázrakom a sviatostiam.</w:t>
            </w:r>
          </w:p>
        </w:tc>
        <w:tc>
          <w:tcPr>
            <w:tcW w:w="779" w:type="dxa"/>
          </w:tcPr>
          <w:p w:rsidR="00167045" w:rsidRPr="00D11135" w:rsidRDefault="00167045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</w:p>
        </w:tc>
      </w:tr>
      <w:tr w:rsidR="00167045" w:rsidRPr="00167045" w:rsidTr="00167045">
        <w:tc>
          <w:tcPr>
            <w:tcW w:w="8755" w:type="dxa"/>
            <w:gridSpan w:val="2"/>
            <w:shd w:val="clear" w:color="auto" w:fill="F2F2F2" w:themeFill="background1" w:themeFillShade="F2"/>
          </w:tcPr>
          <w:p w:rsidR="00167045" w:rsidRPr="00167045" w:rsidRDefault="00167045" w:rsidP="0016704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F7B30">
              <w:rPr>
                <w:rFonts w:ascii="Arial" w:hAnsi="Arial" w:cs="Arial"/>
                <w:b/>
                <w:sz w:val="22"/>
                <w:szCs w:val="22"/>
              </w:rPr>
              <w:t xml:space="preserve">Naplnenie života 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167045" w:rsidRPr="00167045" w:rsidRDefault="00167045" w:rsidP="00167045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704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167045" w:rsidRPr="0051494F" w:rsidTr="00A447B5">
        <w:tc>
          <w:tcPr>
            <w:tcW w:w="2943" w:type="dxa"/>
          </w:tcPr>
          <w:p w:rsidR="00167045" w:rsidRPr="00D11135" w:rsidRDefault="00167045" w:rsidP="00A447B5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položiť si otázky o živote a smrti,</w:t>
            </w:r>
          </w:p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>posúdiť mravný aspekt eutanázie a samovraždy,</w:t>
            </w:r>
          </w:p>
          <w:p w:rsidR="00167045" w:rsidRPr="007F7B30" w:rsidRDefault="00167045" w:rsidP="00A447B5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  <w:r w:rsidRPr="007F7B30"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  <w:t xml:space="preserve">uviesť rozdielne pohľady na starobu a chorobu v súčasnej spoločnosti. </w:t>
            </w:r>
          </w:p>
        </w:tc>
        <w:tc>
          <w:tcPr>
            <w:tcW w:w="779" w:type="dxa"/>
          </w:tcPr>
          <w:p w:rsidR="00167045" w:rsidRPr="00D11135" w:rsidRDefault="00167045" w:rsidP="00A447B5">
            <w:pPr>
              <w:spacing w:before="120" w:line="276" w:lineRule="auto"/>
              <w:rPr>
                <w:rFonts w:ascii="Arial" w:hAnsi="Arial" w:cs="Arial"/>
                <w:bCs/>
                <w:spacing w:val="-4"/>
                <w:highlight w:val="white"/>
                <w:shd w:val="clear" w:color="auto" w:fill="FFFF00"/>
              </w:rPr>
            </w:pPr>
          </w:p>
        </w:tc>
      </w:tr>
    </w:tbl>
    <w:p w:rsidR="00CD182A" w:rsidRPr="009F5729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</w:p>
    <w:sectPr w:rsidR="00CD182A" w:rsidRPr="009F5729" w:rsidSect="006F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37E"/>
    <w:multiLevelType w:val="hybridMultilevel"/>
    <w:tmpl w:val="9FA02AE6"/>
    <w:lvl w:ilvl="0" w:tplc="662C147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1D90"/>
    <w:multiLevelType w:val="hybridMultilevel"/>
    <w:tmpl w:val="A8D2FBFA"/>
    <w:lvl w:ilvl="0" w:tplc="662C14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805"/>
    <w:multiLevelType w:val="hybridMultilevel"/>
    <w:tmpl w:val="AC747358"/>
    <w:lvl w:ilvl="0" w:tplc="3FBC96F4">
      <w:numFmt w:val="bullet"/>
      <w:lvlText w:val="•"/>
      <w:lvlJc w:val="left"/>
      <w:pPr>
        <w:ind w:left="1065" w:hanging="705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A98"/>
    <w:multiLevelType w:val="hybridMultilevel"/>
    <w:tmpl w:val="127460D8"/>
    <w:lvl w:ilvl="0" w:tplc="92D22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1D2C"/>
    <w:multiLevelType w:val="multilevel"/>
    <w:tmpl w:val="9CFABF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B611810"/>
    <w:multiLevelType w:val="hybridMultilevel"/>
    <w:tmpl w:val="99A00DC0"/>
    <w:lvl w:ilvl="0" w:tplc="662C147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75B0F"/>
    <w:multiLevelType w:val="hybridMultilevel"/>
    <w:tmpl w:val="48F2DCC2"/>
    <w:lvl w:ilvl="0" w:tplc="06F09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E6422D"/>
    <w:multiLevelType w:val="hybridMultilevel"/>
    <w:tmpl w:val="F496C0FC"/>
    <w:lvl w:ilvl="0" w:tplc="662C14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0DA2"/>
    <w:multiLevelType w:val="hybridMultilevel"/>
    <w:tmpl w:val="F1AA8584"/>
    <w:lvl w:ilvl="0" w:tplc="0B6EB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6693"/>
    <w:multiLevelType w:val="multilevel"/>
    <w:tmpl w:val="E0549FE8"/>
    <w:lvl w:ilvl="0">
      <w:numFmt w:val="bullet"/>
      <w:pStyle w:val="Hlavikaobsahu1"/>
      <w:lvlText w:val="●"/>
      <w:lvlJc w:val="left"/>
      <w:rPr>
        <w:rFonts w:ascii="StarSymbol" w:hAnsi="StarSymbol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F4E0FA8"/>
    <w:multiLevelType w:val="hybridMultilevel"/>
    <w:tmpl w:val="9334BCCE"/>
    <w:lvl w:ilvl="0" w:tplc="662C147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840C5"/>
    <w:multiLevelType w:val="multilevel"/>
    <w:tmpl w:val="ECCA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157858"/>
    <w:multiLevelType w:val="multilevel"/>
    <w:tmpl w:val="5074CD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47D15BE7"/>
    <w:multiLevelType w:val="multilevel"/>
    <w:tmpl w:val="CB4A5C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4A294BEB"/>
    <w:multiLevelType w:val="hybridMultilevel"/>
    <w:tmpl w:val="7444C7A4"/>
    <w:lvl w:ilvl="0" w:tplc="92D22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D4CAE"/>
    <w:multiLevelType w:val="hybridMultilevel"/>
    <w:tmpl w:val="B86C93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EB4B6B"/>
    <w:multiLevelType w:val="multilevel"/>
    <w:tmpl w:val="0824A166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BF6655F"/>
    <w:multiLevelType w:val="multilevel"/>
    <w:tmpl w:val="7610E21C"/>
    <w:lvl w:ilvl="0">
      <w:start w:val="1"/>
      <w:numFmt w:val="bullet"/>
      <w:lvlText w:val=""/>
      <w:lvlJc w:val="left"/>
      <w:pPr>
        <w:ind w:left="566" w:hanging="283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/>
        <w:bCs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/>
        <w:bCs/>
      </w:rPr>
    </w:lvl>
    <w:lvl w:ilvl="3">
      <w:numFmt w:val="bullet"/>
      <w:lvlText w:val="•"/>
      <w:lvlJc w:val="left"/>
      <w:pPr>
        <w:ind w:left="1134" w:hanging="224"/>
      </w:pPr>
      <w:rPr>
        <w:rFonts w:ascii="StarSymbol" w:hAnsi="StarSymbol"/>
        <w:b/>
        <w:bCs/>
      </w:rPr>
    </w:lvl>
    <w:lvl w:ilvl="4">
      <w:numFmt w:val="bullet"/>
      <w:lvlText w:val="•"/>
      <w:lvlJc w:val="left"/>
      <w:pPr>
        <w:ind w:left="1358" w:hanging="224"/>
      </w:pPr>
      <w:rPr>
        <w:rFonts w:ascii="StarSymbol" w:hAnsi="StarSymbol"/>
        <w:b/>
        <w:bCs/>
      </w:rPr>
    </w:lvl>
    <w:lvl w:ilvl="5">
      <w:numFmt w:val="bullet"/>
      <w:lvlText w:val="•"/>
      <w:lvlJc w:val="left"/>
      <w:pPr>
        <w:ind w:left="1582" w:hanging="224"/>
      </w:pPr>
      <w:rPr>
        <w:rFonts w:ascii="StarSymbol" w:hAnsi="StarSymbol"/>
        <w:b/>
        <w:bCs/>
      </w:rPr>
    </w:lvl>
    <w:lvl w:ilvl="6">
      <w:numFmt w:val="bullet"/>
      <w:lvlText w:val="•"/>
      <w:lvlJc w:val="left"/>
      <w:pPr>
        <w:ind w:left="1806" w:hanging="224"/>
      </w:pPr>
      <w:rPr>
        <w:rFonts w:ascii="StarSymbol" w:hAnsi="StarSymbol"/>
        <w:b/>
        <w:bCs/>
      </w:rPr>
    </w:lvl>
    <w:lvl w:ilvl="7">
      <w:numFmt w:val="bullet"/>
      <w:lvlText w:val="•"/>
      <w:lvlJc w:val="left"/>
      <w:pPr>
        <w:ind w:left="2030" w:hanging="224"/>
      </w:pPr>
      <w:rPr>
        <w:rFonts w:ascii="StarSymbol" w:hAnsi="StarSymbol"/>
        <w:b/>
        <w:bCs/>
      </w:rPr>
    </w:lvl>
    <w:lvl w:ilvl="8">
      <w:numFmt w:val="bullet"/>
      <w:lvlText w:val="•"/>
      <w:lvlJc w:val="left"/>
      <w:pPr>
        <w:ind w:left="2254" w:hanging="224"/>
      </w:pPr>
      <w:rPr>
        <w:rFonts w:ascii="StarSymbol" w:hAnsi="StarSymbol"/>
        <w:b/>
        <w:bCs/>
      </w:rPr>
    </w:lvl>
  </w:abstractNum>
  <w:abstractNum w:abstractNumId="18" w15:restartNumberingAfterBreak="0">
    <w:nsid w:val="4DAA41E5"/>
    <w:multiLevelType w:val="hybridMultilevel"/>
    <w:tmpl w:val="821AA682"/>
    <w:lvl w:ilvl="0" w:tplc="06F09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397991"/>
    <w:multiLevelType w:val="multilevel"/>
    <w:tmpl w:val="104C8D5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4F983EE1"/>
    <w:multiLevelType w:val="multilevel"/>
    <w:tmpl w:val="F62A7090"/>
    <w:styleLink w:val="WW8Num20"/>
    <w:lvl w:ilvl="0">
      <w:numFmt w:val="bullet"/>
      <w:pStyle w:val="odrazka2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1" w15:restartNumberingAfterBreak="0">
    <w:nsid w:val="55765B28"/>
    <w:multiLevelType w:val="hybridMultilevel"/>
    <w:tmpl w:val="98BA958A"/>
    <w:lvl w:ilvl="0" w:tplc="662C147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AFD7753"/>
    <w:multiLevelType w:val="multilevel"/>
    <w:tmpl w:val="E052262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6334A6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A278C8"/>
    <w:multiLevelType w:val="hybridMultilevel"/>
    <w:tmpl w:val="C0DA0EB6"/>
    <w:lvl w:ilvl="0" w:tplc="662C147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F443A60"/>
    <w:multiLevelType w:val="multilevel"/>
    <w:tmpl w:val="753AA9F2"/>
    <w:styleLink w:val="WW8Num9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9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9"/>
  </w:num>
  <w:num w:numId="23">
    <w:abstractNumId w:val="14"/>
  </w:num>
  <w:num w:numId="24">
    <w:abstractNumId w:val="3"/>
  </w:num>
  <w:num w:numId="25">
    <w:abstractNumId w:val="23"/>
  </w:num>
  <w:num w:numId="26">
    <w:abstractNumId w:val="11"/>
  </w:num>
  <w:num w:numId="27">
    <w:abstractNumId w:val="18"/>
  </w:num>
  <w:num w:numId="28">
    <w:abstractNumId w:val="25"/>
  </w:num>
  <w:num w:numId="29">
    <w:abstractNumId w:val="17"/>
  </w:num>
  <w:num w:numId="30">
    <w:abstractNumId w:val="12"/>
  </w:num>
  <w:num w:numId="31">
    <w:abstractNumId w:val="6"/>
  </w:num>
  <w:num w:numId="32">
    <w:abstractNumId w:val="20"/>
  </w:num>
  <w:num w:numId="33">
    <w:abstractNumId w:val="16"/>
  </w:num>
  <w:num w:numId="34">
    <w:abstractNumId w:val="7"/>
  </w:num>
  <w:num w:numId="35">
    <w:abstractNumId w:val="2"/>
  </w:num>
  <w:num w:numId="36">
    <w:abstractNumId w:val="1"/>
  </w:num>
  <w:num w:numId="37">
    <w:abstractNumId w:val="21"/>
  </w:num>
  <w:num w:numId="38">
    <w:abstractNumId w:val="4"/>
  </w:num>
  <w:num w:numId="39">
    <w:abstractNumId w:val="5"/>
  </w:num>
  <w:num w:numId="40">
    <w:abstractNumId w:val="0"/>
  </w:num>
  <w:num w:numId="41">
    <w:abstractNumId w:val="19"/>
  </w:num>
  <w:num w:numId="42">
    <w:abstractNumId w:val="24"/>
  </w:num>
  <w:num w:numId="43">
    <w:abstractNumId w:val="15"/>
  </w:num>
  <w:num w:numId="44">
    <w:abstractNumId w:val="10"/>
  </w:num>
  <w:num w:numId="45">
    <w:abstractNumId w:val="1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49"/>
    <w:rsid w:val="00003815"/>
    <w:rsid w:val="00077507"/>
    <w:rsid w:val="000A720C"/>
    <w:rsid w:val="000F2FD0"/>
    <w:rsid w:val="000F61EE"/>
    <w:rsid w:val="000F736D"/>
    <w:rsid w:val="00112BC8"/>
    <w:rsid w:val="00124A79"/>
    <w:rsid w:val="00133039"/>
    <w:rsid w:val="00167045"/>
    <w:rsid w:val="00171C9A"/>
    <w:rsid w:val="0023314E"/>
    <w:rsid w:val="00237B74"/>
    <w:rsid w:val="00264267"/>
    <w:rsid w:val="00264BCA"/>
    <w:rsid w:val="00282DE4"/>
    <w:rsid w:val="002871D8"/>
    <w:rsid w:val="002D334A"/>
    <w:rsid w:val="002D662D"/>
    <w:rsid w:val="00301455"/>
    <w:rsid w:val="00335C94"/>
    <w:rsid w:val="00366FB5"/>
    <w:rsid w:val="003C6EB4"/>
    <w:rsid w:val="0041789B"/>
    <w:rsid w:val="00422EFD"/>
    <w:rsid w:val="0044457D"/>
    <w:rsid w:val="0047613D"/>
    <w:rsid w:val="00483669"/>
    <w:rsid w:val="004910BB"/>
    <w:rsid w:val="004C1E68"/>
    <w:rsid w:val="00505787"/>
    <w:rsid w:val="0051494F"/>
    <w:rsid w:val="00532906"/>
    <w:rsid w:val="005E6BD8"/>
    <w:rsid w:val="00607743"/>
    <w:rsid w:val="00637CAB"/>
    <w:rsid w:val="00642499"/>
    <w:rsid w:val="00644605"/>
    <w:rsid w:val="00646855"/>
    <w:rsid w:val="00650ADF"/>
    <w:rsid w:val="00683EEF"/>
    <w:rsid w:val="00684DF9"/>
    <w:rsid w:val="006B221E"/>
    <w:rsid w:val="006B3B0A"/>
    <w:rsid w:val="006F07F7"/>
    <w:rsid w:val="007800E5"/>
    <w:rsid w:val="007C3069"/>
    <w:rsid w:val="007D1600"/>
    <w:rsid w:val="007F3A6A"/>
    <w:rsid w:val="007F7B30"/>
    <w:rsid w:val="00812939"/>
    <w:rsid w:val="008D2C14"/>
    <w:rsid w:val="00903DD3"/>
    <w:rsid w:val="009E0DD0"/>
    <w:rsid w:val="009F5729"/>
    <w:rsid w:val="009F67BA"/>
    <w:rsid w:val="00A212D0"/>
    <w:rsid w:val="00A26C48"/>
    <w:rsid w:val="00A36B01"/>
    <w:rsid w:val="00A43249"/>
    <w:rsid w:val="00A73314"/>
    <w:rsid w:val="00AB7BA3"/>
    <w:rsid w:val="00AC7D21"/>
    <w:rsid w:val="00AD3DBA"/>
    <w:rsid w:val="00AD6D34"/>
    <w:rsid w:val="00AE0505"/>
    <w:rsid w:val="00AF76EF"/>
    <w:rsid w:val="00B3666D"/>
    <w:rsid w:val="00C7132C"/>
    <w:rsid w:val="00CB517A"/>
    <w:rsid w:val="00CD182A"/>
    <w:rsid w:val="00CE43AF"/>
    <w:rsid w:val="00CF147B"/>
    <w:rsid w:val="00D90645"/>
    <w:rsid w:val="00DC633D"/>
    <w:rsid w:val="00DD094A"/>
    <w:rsid w:val="00DE64C8"/>
    <w:rsid w:val="00E20665"/>
    <w:rsid w:val="00E76421"/>
    <w:rsid w:val="00EB06B6"/>
    <w:rsid w:val="00F02D4E"/>
    <w:rsid w:val="00F11421"/>
    <w:rsid w:val="00F12EDE"/>
    <w:rsid w:val="00F4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EDFC0-4A63-49D8-B2B7-F19F9B11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A43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720C"/>
    <w:pPr>
      <w:keepNext/>
      <w:keepLines/>
      <w:numPr>
        <w:numId w:val="21"/>
      </w:numPr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720C"/>
    <w:pPr>
      <w:keepNext/>
      <w:keepLines/>
      <w:numPr>
        <w:ilvl w:val="1"/>
        <w:numId w:val="21"/>
      </w:numPr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720C"/>
    <w:pPr>
      <w:keepNext/>
      <w:keepLines/>
      <w:numPr>
        <w:ilvl w:val="2"/>
        <w:numId w:val="21"/>
      </w:numPr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A72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A720C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720C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A720C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720C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0A720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arebnzoznamzvraznenie11">
    <w:name w:val="Farebný zoznam – zvýraznenie 11"/>
    <w:basedOn w:val="Normlny"/>
    <w:uiPriority w:val="99"/>
    <w:qFormat/>
    <w:rsid w:val="000A720C"/>
    <w:pPr>
      <w:ind w:left="720"/>
    </w:pPr>
  </w:style>
  <w:style w:type="paragraph" w:customStyle="1" w:styleId="Odsekzoznamu1">
    <w:name w:val="Odsek zoznamu1"/>
    <w:basedOn w:val="Normlny"/>
    <w:qFormat/>
    <w:rsid w:val="000A720C"/>
    <w:pPr>
      <w:ind w:left="720"/>
    </w:pPr>
  </w:style>
  <w:style w:type="paragraph" w:customStyle="1" w:styleId="Bezriadkovania1">
    <w:name w:val="Bez riadkovania1"/>
    <w:qFormat/>
    <w:rsid w:val="000A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Hlavikaobsahu1">
    <w:name w:val="Hlavička obsahu1"/>
    <w:basedOn w:val="Nadpis1"/>
    <w:next w:val="Normlny"/>
    <w:uiPriority w:val="39"/>
    <w:qFormat/>
    <w:rsid w:val="000A720C"/>
    <w:pPr>
      <w:widowControl/>
      <w:numPr>
        <w:numId w:val="22"/>
      </w:numPr>
      <w:suppressAutoHyphens w:val="0"/>
      <w:autoSpaceDN/>
      <w:spacing w:line="276" w:lineRule="auto"/>
      <w:ind w:left="0" w:firstLine="0"/>
      <w:textAlignment w:val="auto"/>
      <w:outlineLvl w:val="9"/>
    </w:pPr>
    <w:rPr>
      <w:rFonts w:eastAsia="Times New Roman" w:cs="Times New Roman"/>
      <w:color w:val="365F91"/>
      <w:kern w:val="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A720C"/>
    <w:rPr>
      <w:rFonts w:ascii="Arial" w:eastAsiaTheme="majorEastAsia" w:hAnsi="Arial" w:cstheme="majorBidi"/>
      <w:b/>
      <w:bCs/>
      <w:color w:val="365F91" w:themeColor="accent1" w:themeShade="BF"/>
      <w:kern w:val="3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A720C"/>
    <w:rPr>
      <w:rFonts w:ascii="Arial" w:eastAsiaTheme="majorEastAsia" w:hAnsi="Arial" w:cstheme="majorBidi"/>
      <w:b/>
      <w:bCs/>
      <w:color w:val="4F81BD" w:themeColor="accent1"/>
      <w:kern w:val="3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720C"/>
    <w:rPr>
      <w:rFonts w:ascii="Arial" w:eastAsiaTheme="majorEastAsia" w:hAnsi="Arial" w:cstheme="majorBidi"/>
      <w:b/>
      <w:bCs/>
      <w:color w:val="4F81BD" w:themeColor="accent1"/>
      <w:kern w:val="3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A720C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A720C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720C"/>
    <w:rPr>
      <w:rFonts w:asciiTheme="majorHAnsi" w:eastAsiaTheme="majorEastAsia" w:hAnsiTheme="majorHAnsi" w:cstheme="majorBidi"/>
      <w:i/>
      <w:iCs/>
      <w:color w:val="243F60" w:themeColor="accent1" w:themeShade="7F"/>
      <w:kern w:val="3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0A720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0A720C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A720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qFormat/>
    <w:rsid w:val="000A720C"/>
    <w:pPr>
      <w:keepNext/>
      <w:autoSpaceDE w:val="0"/>
      <w:spacing w:before="240" w:after="120"/>
    </w:pPr>
    <w:rPr>
      <w:rFonts w:ascii="Arial" w:hAnsi="Arial"/>
      <w:color w:val="000000"/>
      <w:sz w:val="28"/>
      <w:szCs w:val="28"/>
      <w:lang w:bidi="en-US"/>
    </w:rPr>
  </w:style>
  <w:style w:type="character" w:customStyle="1" w:styleId="NzovChar">
    <w:name w:val="Názov Char"/>
    <w:basedOn w:val="Predvolenpsmoodseku"/>
    <w:link w:val="Nzov"/>
    <w:rsid w:val="000A720C"/>
    <w:rPr>
      <w:rFonts w:ascii="Arial" w:eastAsia="Lucida Sans Unicode" w:hAnsi="Arial" w:cs="Tahoma"/>
      <w:color w:val="000000"/>
      <w:kern w:val="3"/>
      <w:sz w:val="28"/>
      <w:szCs w:val="28"/>
      <w:lang w:eastAsia="sk-SK" w:bidi="en-US"/>
    </w:rPr>
  </w:style>
  <w:style w:type="paragraph" w:styleId="Podtitul">
    <w:name w:val="Subtitle"/>
    <w:basedOn w:val="Nzov"/>
    <w:next w:val="Normlny"/>
    <w:link w:val="PodtitulChar"/>
    <w:qFormat/>
    <w:rsid w:val="000A720C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rsid w:val="000A720C"/>
    <w:rPr>
      <w:rFonts w:ascii="Arial" w:eastAsia="Lucida Sans Unicode" w:hAnsi="Arial" w:cs="Tahoma"/>
      <w:i/>
      <w:iCs/>
      <w:color w:val="000000"/>
      <w:kern w:val="3"/>
      <w:sz w:val="28"/>
      <w:szCs w:val="28"/>
      <w:lang w:eastAsia="sk-SK" w:bidi="en-US"/>
    </w:rPr>
  </w:style>
  <w:style w:type="character" w:styleId="Zvraznenie">
    <w:name w:val="Emphasis"/>
    <w:uiPriority w:val="20"/>
    <w:qFormat/>
    <w:rsid w:val="000A720C"/>
    <w:rPr>
      <w:i/>
      <w:iCs/>
    </w:rPr>
  </w:style>
  <w:style w:type="paragraph" w:styleId="Bezriadkovania">
    <w:name w:val="No Spacing"/>
    <w:qFormat/>
    <w:rsid w:val="000A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0A720C"/>
    <w:pPr>
      <w:ind w:left="720"/>
    </w:pPr>
  </w:style>
  <w:style w:type="paragraph" w:styleId="Hlavikaobsahu">
    <w:name w:val="TOC Heading"/>
    <w:basedOn w:val="Nadpis1"/>
    <w:next w:val="Normlny"/>
    <w:uiPriority w:val="39"/>
    <w:unhideWhenUsed/>
    <w:qFormat/>
    <w:rsid w:val="000A720C"/>
    <w:pPr>
      <w:widowControl/>
      <w:numPr>
        <w:numId w:val="0"/>
      </w:numPr>
      <w:suppressAutoHyphens w:val="0"/>
      <w:autoSpaceDN/>
      <w:spacing w:line="276" w:lineRule="auto"/>
      <w:textAlignment w:val="auto"/>
      <w:outlineLvl w:val="9"/>
    </w:pPr>
    <w:rPr>
      <w:kern w:val="0"/>
      <w:lang w:eastAsia="en-US"/>
    </w:rPr>
  </w:style>
  <w:style w:type="paragraph" w:customStyle="1" w:styleId="Standard">
    <w:name w:val="Standard"/>
    <w:rsid w:val="00A4324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 w:bidi="en-US"/>
    </w:rPr>
  </w:style>
  <w:style w:type="numbering" w:customStyle="1" w:styleId="WW8Num9">
    <w:name w:val="WW8Num9"/>
    <w:basedOn w:val="Bezzoznamu"/>
    <w:rsid w:val="00124A79"/>
    <w:pPr>
      <w:numPr>
        <w:numId w:val="28"/>
      </w:numPr>
    </w:pPr>
  </w:style>
  <w:style w:type="table" w:styleId="Mriekatabuky">
    <w:name w:val="Table Grid"/>
    <w:basedOn w:val="Normlnatabuka"/>
    <w:uiPriority w:val="59"/>
    <w:rsid w:val="0028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azka2">
    <w:name w:val="odrazka2"/>
    <w:rsid w:val="00133039"/>
    <w:pPr>
      <w:widowControl w:val="0"/>
      <w:numPr>
        <w:numId w:val="32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lang w:eastAsia="sk-SK"/>
    </w:rPr>
  </w:style>
  <w:style w:type="numbering" w:customStyle="1" w:styleId="WW8Num20">
    <w:name w:val="WW8Num20"/>
    <w:basedOn w:val="Bezzoznamu"/>
    <w:rsid w:val="00133039"/>
    <w:pPr>
      <w:numPr>
        <w:numId w:val="32"/>
      </w:numPr>
    </w:pPr>
  </w:style>
  <w:style w:type="numbering" w:customStyle="1" w:styleId="WW8Num21">
    <w:name w:val="WW8Num21"/>
    <w:basedOn w:val="Bezzoznamu"/>
    <w:rsid w:val="00133039"/>
    <w:pPr>
      <w:numPr>
        <w:numId w:val="33"/>
      </w:numPr>
    </w:pPr>
  </w:style>
  <w:style w:type="paragraph" w:customStyle="1" w:styleId="tabulaodrazka">
    <w:name w:val="tabula_odrazka"/>
    <w:link w:val="tabulaodrazkaChar"/>
    <w:rsid w:val="00903D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18"/>
      <w:szCs w:val="18"/>
      <w:lang w:eastAsia="sk-SK"/>
    </w:rPr>
  </w:style>
  <w:style w:type="character" w:customStyle="1" w:styleId="tabulaodrazkaChar">
    <w:name w:val="tabula_odrazka Char"/>
    <w:basedOn w:val="Predvolenpsmoodseku"/>
    <w:link w:val="tabulaodrazka"/>
    <w:rsid w:val="00903DD3"/>
    <w:rPr>
      <w:rFonts w:ascii="Arial" w:eastAsia="Lucida Sans Unicode" w:hAnsi="Arial" w:cs="Tahoma"/>
      <w:kern w:val="3"/>
      <w:sz w:val="18"/>
      <w:szCs w:val="18"/>
      <w:lang w:eastAsia="sk-SK"/>
    </w:rPr>
  </w:style>
  <w:style w:type="paragraph" w:customStyle="1" w:styleId="text">
    <w:name w:val="text"/>
    <w:rsid w:val="002D334A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lang w:eastAsia="sk-SK"/>
    </w:rPr>
  </w:style>
  <w:style w:type="paragraph" w:customStyle="1" w:styleId="odsek">
    <w:name w:val="odsek"/>
    <w:link w:val="odsekChar"/>
    <w:rsid w:val="00077507"/>
    <w:pPr>
      <w:widowControl w:val="0"/>
      <w:suppressAutoHyphens/>
      <w:autoSpaceDN w:val="0"/>
      <w:spacing w:before="113" w:after="113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character" w:customStyle="1" w:styleId="odsekChar">
    <w:name w:val="odsek Char"/>
    <w:basedOn w:val="Predvolenpsmoodseku"/>
    <w:link w:val="odsek"/>
    <w:locked/>
    <w:rsid w:val="00077507"/>
    <w:rPr>
      <w:rFonts w:ascii="Times New Roman" w:eastAsia="Lucida Sans Unicode" w:hAnsi="Times New Roman" w:cs="Tahoma"/>
      <w:kern w:val="3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Ďurovova</cp:lastModifiedBy>
  <cp:revision>4</cp:revision>
  <dcterms:created xsi:type="dcterms:W3CDTF">2020-08-24T18:15:00Z</dcterms:created>
  <dcterms:modified xsi:type="dcterms:W3CDTF">2021-08-18T08:16:00Z</dcterms:modified>
</cp:coreProperties>
</file>